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EB" w:rsidRPr="00D113EB" w:rsidRDefault="00D113EB" w:rsidP="00623814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B85570" w:rsidRPr="00414D5C" w:rsidRDefault="00414D5C" w:rsidP="00414D5C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414D5C">
        <w:rPr>
          <w:b/>
          <w:color w:val="000000"/>
        </w:rPr>
        <w:t>SPRAWOZDANIE Z DZIAŁALNOŚĆ  WYDZIAŁOWEJ KOMISJI DS. OCENY I ZAPEWNIENIA  JAKOŚCI KSZ</w:t>
      </w:r>
      <w:r w:rsidR="00BA1D06">
        <w:rPr>
          <w:b/>
          <w:color w:val="000000"/>
        </w:rPr>
        <w:t>TAŁCENIA W ROKU AKADEMICKIM 2015/2016</w:t>
      </w:r>
    </w:p>
    <w:p w:rsidR="00A3774E" w:rsidRPr="00EF2F5A" w:rsidRDefault="00A3774E" w:rsidP="00623814">
      <w:pPr>
        <w:autoSpaceDE w:val="0"/>
        <w:autoSpaceDN w:val="0"/>
        <w:adjustRightInd w:val="0"/>
        <w:rPr>
          <w:b/>
          <w:bCs/>
          <w:color w:val="000000"/>
        </w:rPr>
      </w:pPr>
    </w:p>
    <w:p w:rsidR="00EF2F5A" w:rsidRPr="00EF2F5A" w:rsidRDefault="00EF2F5A" w:rsidP="0062381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color w:val="000000"/>
        </w:rPr>
      </w:pPr>
      <w:r w:rsidRPr="00EF2F5A">
        <w:rPr>
          <w:b/>
          <w:color w:val="000000"/>
        </w:rPr>
        <w:t>Informacje ogólne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Wydziałowa Komisja ds. Oceny i Zapewniania Jakości Kształcenia (WKOZJK) na Wydziale</w:t>
      </w:r>
    </w:p>
    <w:p w:rsidR="00E368B7" w:rsidRDefault="00A3774E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Architektury </w:t>
      </w:r>
      <w:r w:rsidR="00F3041A">
        <w:rPr>
          <w:color w:val="000000"/>
        </w:rPr>
        <w:t xml:space="preserve"> Politechniki Wrocławskiej stanowi podstawowy element</w:t>
      </w:r>
      <w:r w:rsidR="00523DB8">
        <w:rPr>
          <w:color w:val="000000"/>
        </w:rPr>
        <w:t xml:space="preserve"> </w:t>
      </w:r>
      <w:r w:rsidR="00F3041A">
        <w:rPr>
          <w:color w:val="000000"/>
        </w:rPr>
        <w:t>Wydziałowego Systemu Zapewnienia Jakości Kszt</w:t>
      </w:r>
      <w:r w:rsidR="00D428BA">
        <w:rPr>
          <w:color w:val="000000"/>
        </w:rPr>
        <w:t>ałcenia.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Wydziałowa Komisja ds. Oceny i Zapewniania Jakości Kształcenia na Wydziale</w:t>
      </w:r>
      <w:r w:rsidR="00D50C00">
        <w:rPr>
          <w:color w:val="000000"/>
        </w:rPr>
        <w:t xml:space="preserve"> Architektury </w:t>
      </w:r>
      <w:r>
        <w:rPr>
          <w:color w:val="000000"/>
        </w:rPr>
        <w:t>została powołana na kadencję 2012-2016 w następującym składzie</w:t>
      </w:r>
      <w:r w:rsidR="00D50C00">
        <w:rPr>
          <w:color w:val="000000"/>
        </w:rPr>
        <w:t>: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Bogusław Wowrzeczka – przewodniczący. 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  <w:lang w:val="en-US"/>
        </w:rPr>
        <w:t xml:space="preserve">Prof. dr hab. inż. arch. </w:t>
      </w:r>
      <w:r w:rsidRPr="007614C8">
        <w:rPr>
          <w:rFonts w:eastAsia="Times New Roman"/>
        </w:rPr>
        <w:t>Rafał Czerner. 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Prof. dr hab. inż. arch. Elżbieta Przesmycka. 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D309A5">
        <w:rPr>
          <w:rFonts w:eastAsia="Times New Roman"/>
          <w:lang w:val="en-US"/>
        </w:rPr>
        <w:t xml:space="preserve">Prof. dr hab. inż. arch. </w:t>
      </w:r>
      <w:r w:rsidRPr="007614C8">
        <w:rPr>
          <w:rFonts w:eastAsia="Times New Roman"/>
        </w:rPr>
        <w:t xml:space="preserve">Marzanna Jagiełło – Kierownik Studiów Doktoranckich 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 xml:space="preserve">Dr hab. inż. arch. Robert Masztalski, prof. nadzw. </w:t>
      </w:r>
      <w:r w:rsidRPr="00D309A5">
        <w:rPr>
          <w:rFonts w:eastAsia="Times New Roman"/>
        </w:rPr>
        <w:t>PWr. </w:t>
      </w:r>
    </w:p>
    <w:p w:rsidR="00FF7099" w:rsidRPr="00D309A5" w:rsidRDefault="00FF7099" w:rsidP="00623814">
      <w:pPr>
        <w:ind w:left="720"/>
        <w:rPr>
          <w:rFonts w:eastAsia="Times New Roman"/>
          <w:lang w:val="en-US"/>
        </w:rPr>
      </w:pPr>
      <w:r w:rsidRPr="00D309A5">
        <w:rPr>
          <w:rFonts w:eastAsia="Times New Roman"/>
        </w:rPr>
        <w:t xml:space="preserve">Dr hab. inż. arch. </w:t>
      </w:r>
      <w:r w:rsidRPr="007614C8">
        <w:rPr>
          <w:rFonts w:eastAsia="Times New Roman"/>
        </w:rPr>
        <w:t xml:space="preserve">Krystyna Kirschke, prof. nadzw. </w:t>
      </w:r>
      <w:r w:rsidRPr="00D309A5">
        <w:rPr>
          <w:rFonts w:eastAsia="Times New Roman"/>
          <w:lang w:val="en-US"/>
        </w:rPr>
        <w:t>PWr. 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D309A5">
        <w:rPr>
          <w:rFonts w:eastAsia="Times New Roman"/>
          <w:lang w:val="en-US"/>
        </w:rPr>
        <w:t xml:space="preserve">Dr hab. inż. arch. </w:t>
      </w:r>
      <w:r w:rsidRPr="007614C8">
        <w:rPr>
          <w:rFonts w:eastAsia="Times New Roman"/>
        </w:rPr>
        <w:t>Wojciech Brzezowski, prof. nadzw. PWr.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Maciej Hawrylak.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Joanna Jabłońska.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Aldona Kożan.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Izabela Mironowicz.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Magdalena Muszyńska-Łanowy – sekretarz Komisji.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Paweł Szkoda.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Agnieszka Tomaszewicz.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Łukasz Damurski.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Paweł Pach.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Wawrzyniec Zipser.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Inż. Barbara Sangórska – przedstawiciel studentów.</w:t>
      </w:r>
    </w:p>
    <w:p w:rsidR="00D50C00" w:rsidRDefault="00D50C00" w:rsidP="00623814">
      <w:pPr>
        <w:autoSpaceDE w:val="0"/>
        <w:autoSpaceDN w:val="0"/>
        <w:adjustRightInd w:val="0"/>
        <w:rPr>
          <w:color w:val="000000"/>
        </w:rPr>
      </w:pPr>
    </w:p>
    <w:p w:rsidR="00F3041A" w:rsidRDefault="00EF2F5A" w:rsidP="0062381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2)</w:t>
      </w:r>
      <w:r w:rsidR="00F304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F3041A">
        <w:rPr>
          <w:b/>
          <w:bCs/>
          <w:color w:val="000000"/>
        </w:rPr>
        <w:t>Zapewnianie jako</w:t>
      </w:r>
      <w:r w:rsidR="00F3041A">
        <w:rPr>
          <w:rFonts w:ascii="Arial,Bold" w:hAnsi="Arial,Bold" w:cs="Arial,Bold"/>
          <w:b/>
          <w:bCs/>
          <w:color w:val="000000"/>
        </w:rPr>
        <w:t>ś</w:t>
      </w:r>
      <w:r w:rsidR="00F3041A">
        <w:rPr>
          <w:b/>
          <w:bCs/>
          <w:color w:val="000000"/>
        </w:rPr>
        <w:t>ci kształcenia</w:t>
      </w:r>
    </w:p>
    <w:p w:rsidR="00F3041A" w:rsidRDefault="00AD1FAB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Prodziekan ds.</w:t>
      </w:r>
      <w:r w:rsidR="00606621">
        <w:rPr>
          <w:color w:val="000000"/>
        </w:rPr>
        <w:t xml:space="preserve"> D</w:t>
      </w:r>
      <w:r>
        <w:rPr>
          <w:color w:val="000000"/>
        </w:rPr>
        <w:t>ydaktyki ini</w:t>
      </w:r>
      <w:r w:rsidR="00B34033">
        <w:rPr>
          <w:color w:val="000000"/>
        </w:rPr>
        <w:t>cjował i monitorował w roku 2015/2016</w:t>
      </w:r>
      <w:r>
        <w:rPr>
          <w:color w:val="000000"/>
        </w:rPr>
        <w:t xml:space="preserve"> działania związane z zapewnieniem jakości kształcenia na WA. Działania te były następujące:</w:t>
      </w:r>
    </w:p>
    <w:p w:rsidR="005F24BE" w:rsidRPr="0011245D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color w:val="000000"/>
        </w:rPr>
      </w:pPr>
      <w:r w:rsidRPr="0011245D">
        <w:rPr>
          <w:b/>
          <w:color w:val="000000"/>
        </w:rPr>
        <w:t>Monitorowanie zgodności W</w:t>
      </w:r>
      <w:r w:rsidR="00B210C2" w:rsidRPr="0011245D">
        <w:rPr>
          <w:b/>
          <w:color w:val="000000"/>
        </w:rPr>
        <w:t xml:space="preserve">ydziałowego  </w:t>
      </w:r>
      <w:r w:rsidRPr="0011245D">
        <w:rPr>
          <w:b/>
          <w:color w:val="000000"/>
        </w:rPr>
        <w:t>S</w:t>
      </w:r>
      <w:r w:rsidR="00B210C2" w:rsidRPr="0011245D">
        <w:rPr>
          <w:b/>
          <w:color w:val="000000"/>
        </w:rPr>
        <w:t xml:space="preserve">ystemu </w:t>
      </w:r>
      <w:r w:rsidRPr="0011245D">
        <w:rPr>
          <w:b/>
          <w:color w:val="000000"/>
        </w:rPr>
        <w:t>Z</w:t>
      </w:r>
      <w:r w:rsidR="00B210C2" w:rsidRPr="0011245D">
        <w:rPr>
          <w:b/>
          <w:color w:val="000000"/>
        </w:rPr>
        <w:t xml:space="preserve">arządzania </w:t>
      </w:r>
      <w:r w:rsidRPr="0011245D">
        <w:rPr>
          <w:b/>
          <w:color w:val="000000"/>
        </w:rPr>
        <w:t>J</w:t>
      </w:r>
      <w:r w:rsidR="00B210C2" w:rsidRPr="0011245D">
        <w:rPr>
          <w:b/>
          <w:color w:val="000000"/>
        </w:rPr>
        <w:t xml:space="preserve">akością </w:t>
      </w:r>
      <w:r w:rsidRPr="0011245D">
        <w:rPr>
          <w:b/>
          <w:color w:val="000000"/>
        </w:rPr>
        <w:t>K</w:t>
      </w:r>
      <w:r w:rsidR="00B210C2" w:rsidRPr="0011245D">
        <w:rPr>
          <w:b/>
          <w:color w:val="000000"/>
        </w:rPr>
        <w:t xml:space="preserve">ształcenia  z </w:t>
      </w:r>
      <w:r w:rsidRPr="0011245D">
        <w:rPr>
          <w:b/>
          <w:color w:val="000000"/>
        </w:rPr>
        <w:t>aktualnymi przepisami prawnymi.</w:t>
      </w:r>
    </w:p>
    <w:p w:rsidR="00B210C2" w:rsidRDefault="00AD1FAB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BD40BB" w:rsidRDefault="00B210C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F3041A">
        <w:rPr>
          <w:color w:val="000000"/>
        </w:rPr>
        <w:t xml:space="preserve">W </w:t>
      </w:r>
      <w:r w:rsidR="00467686">
        <w:rPr>
          <w:color w:val="000000"/>
        </w:rPr>
        <w:t>roku 2015</w:t>
      </w:r>
      <w:r>
        <w:rPr>
          <w:color w:val="000000"/>
        </w:rPr>
        <w:t xml:space="preserve"> </w:t>
      </w:r>
      <w:r w:rsidR="00467686">
        <w:rPr>
          <w:color w:val="000000"/>
        </w:rPr>
        <w:t xml:space="preserve">nie było zmian w </w:t>
      </w:r>
      <w:r w:rsidR="00D50C00">
        <w:rPr>
          <w:color w:val="000000"/>
        </w:rPr>
        <w:t xml:space="preserve"> </w:t>
      </w:r>
      <w:r w:rsidR="00467686">
        <w:rPr>
          <w:color w:val="000000"/>
        </w:rPr>
        <w:t>Ustawie</w:t>
      </w:r>
      <w:r w:rsidR="00FA4065">
        <w:rPr>
          <w:color w:val="000000"/>
        </w:rPr>
        <w:t xml:space="preserve"> Prawo o </w:t>
      </w:r>
      <w:r w:rsidR="00D50C00">
        <w:rPr>
          <w:color w:val="000000"/>
        </w:rPr>
        <w:t>Szkolnictwie Wyższym</w:t>
      </w:r>
      <w:r w:rsidR="00467686">
        <w:t xml:space="preserve"> i </w:t>
      </w:r>
      <w:r>
        <w:rPr>
          <w:color w:val="000000"/>
        </w:rPr>
        <w:t xml:space="preserve"> </w:t>
      </w:r>
      <w:r w:rsidR="00467686">
        <w:rPr>
          <w:color w:val="000000"/>
        </w:rPr>
        <w:t>nie było konieczności</w:t>
      </w:r>
      <w:r w:rsidR="00AD1FAB">
        <w:rPr>
          <w:color w:val="000000"/>
        </w:rPr>
        <w:t xml:space="preserve"> zmiany programów nauczania i kierunkowych efektów kształcenia.</w:t>
      </w:r>
    </w:p>
    <w:p w:rsidR="007F7275" w:rsidRDefault="007F7275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606621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606621">
        <w:rPr>
          <w:b/>
          <w:color w:val="000000"/>
        </w:rPr>
        <w:t xml:space="preserve"> Monitorowanie programó</w:t>
      </w:r>
      <w:r w:rsidR="00B34033">
        <w:rPr>
          <w:b/>
          <w:color w:val="000000"/>
        </w:rPr>
        <w:t>w kształcenia i ich aktualizacja</w:t>
      </w:r>
      <w:r w:rsidRPr="00606621">
        <w:rPr>
          <w:b/>
          <w:color w:val="000000"/>
        </w:rPr>
        <w:t>.</w:t>
      </w:r>
    </w:p>
    <w:p w:rsidR="005F24BE" w:rsidRDefault="005F24BE" w:rsidP="00623814">
      <w:pPr>
        <w:autoSpaceDE w:val="0"/>
        <w:autoSpaceDN w:val="0"/>
        <w:adjustRightInd w:val="0"/>
        <w:rPr>
          <w:color w:val="000000"/>
        </w:rPr>
      </w:pPr>
    </w:p>
    <w:p w:rsidR="005F24BE" w:rsidRPr="007451F6" w:rsidRDefault="005F24BE" w:rsidP="007451F6">
      <w:pPr>
        <w:pStyle w:val="Zdnia"/>
        <w:spacing w:after="0"/>
        <w:jc w:val="both"/>
        <w:rPr>
          <w:rFonts w:ascii="Arial" w:hAnsi="Arial" w:cs="Arial"/>
          <w:sz w:val="22"/>
          <w:szCs w:val="22"/>
        </w:rPr>
      </w:pPr>
      <w:r w:rsidRPr="007451F6">
        <w:rPr>
          <w:rFonts w:ascii="Arial" w:hAnsi="Arial" w:cs="Arial"/>
          <w:color w:val="000000"/>
          <w:sz w:val="22"/>
          <w:szCs w:val="22"/>
        </w:rPr>
        <w:t>W związku z nowelizacją Ustawy</w:t>
      </w:r>
      <w:r w:rsidR="007451F6" w:rsidRPr="007451F6">
        <w:rPr>
          <w:rFonts w:ascii="Arial" w:hAnsi="Arial" w:cs="Arial"/>
          <w:color w:val="000000"/>
          <w:sz w:val="22"/>
          <w:szCs w:val="22"/>
        </w:rPr>
        <w:t xml:space="preserve"> w 2014br.</w:t>
      </w:r>
      <w:r w:rsidRPr="007451F6">
        <w:rPr>
          <w:rFonts w:ascii="Arial" w:hAnsi="Arial" w:cs="Arial"/>
          <w:color w:val="000000"/>
          <w:sz w:val="22"/>
          <w:szCs w:val="22"/>
        </w:rPr>
        <w:t xml:space="preserve"> i Zarządzeniem Rektora 2/2015 </w:t>
      </w:r>
      <w:r w:rsidRPr="007451F6">
        <w:rPr>
          <w:rFonts w:ascii="Arial" w:hAnsi="Arial" w:cs="Arial"/>
          <w:sz w:val="22"/>
          <w:szCs w:val="22"/>
        </w:rPr>
        <w:t>z dnia 29 stycznia 2015 r.</w:t>
      </w:r>
      <w:r w:rsidR="007451F6" w:rsidRPr="007451F6">
        <w:rPr>
          <w:rFonts w:ascii="Arial" w:hAnsi="Arial" w:cs="Arial"/>
          <w:sz w:val="22"/>
          <w:szCs w:val="22"/>
        </w:rPr>
        <w:t xml:space="preserve"> </w:t>
      </w:r>
      <w:r w:rsidRPr="007451F6">
        <w:rPr>
          <w:rFonts w:ascii="Arial" w:hAnsi="Arial" w:cs="Arial"/>
          <w:color w:val="000000"/>
          <w:sz w:val="22"/>
          <w:szCs w:val="22"/>
        </w:rPr>
        <w:t>w trakcie roku akademickiego</w:t>
      </w:r>
      <w:r w:rsidR="007451F6" w:rsidRPr="007451F6">
        <w:rPr>
          <w:rFonts w:ascii="Arial" w:hAnsi="Arial" w:cs="Arial"/>
          <w:color w:val="000000"/>
          <w:sz w:val="22"/>
          <w:szCs w:val="22"/>
        </w:rPr>
        <w:t xml:space="preserve"> 2015/2016 </w:t>
      </w:r>
      <w:r w:rsidRPr="007451F6">
        <w:rPr>
          <w:rFonts w:ascii="Arial" w:hAnsi="Arial" w:cs="Arial"/>
          <w:color w:val="000000"/>
          <w:sz w:val="22"/>
          <w:szCs w:val="22"/>
        </w:rPr>
        <w:t xml:space="preserve"> </w:t>
      </w:r>
      <w:r w:rsidR="007451F6" w:rsidRPr="007451F6">
        <w:rPr>
          <w:rFonts w:ascii="Arial" w:hAnsi="Arial" w:cs="Arial"/>
          <w:color w:val="000000"/>
          <w:sz w:val="22"/>
          <w:szCs w:val="22"/>
        </w:rPr>
        <w:t xml:space="preserve">wprowadzono wcześniej uchwalone </w:t>
      </w:r>
      <w:r w:rsidRPr="007451F6">
        <w:rPr>
          <w:rFonts w:ascii="Arial" w:hAnsi="Arial" w:cs="Arial"/>
          <w:color w:val="000000"/>
          <w:sz w:val="22"/>
          <w:szCs w:val="22"/>
        </w:rPr>
        <w:t xml:space="preserve"> zmian</w:t>
      </w:r>
      <w:r w:rsidR="007451F6" w:rsidRPr="007451F6">
        <w:rPr>
          <w:rFonts w:ascii="Arial" w:hAnsi="Arial" w:cs="Arial"/>
          <w:color w:val="000000"/>
          <w:sz w:val="22"/>
          <w:szCs w:val="22"/>
        </w:rPr>
        <w:t xml:space="preserve">y w programach </w:t>
      </w:r>
      <w:r w:rsidRPr="007451F6">
        <w:rPr>
          <w:rFonts w:ascii="Arial" w:hAnsi="Arial" w:cs="Arial"/>
          <w:color w:val="000000"/>
          <w:sz w:val="22"/>
          <w:szCs w:val="22"/>
        </w:rPr>
        <w:t xml:space="preserve"> kształcenia </w:t>
      </w:r>
      <w:r w:rsidR="007451F6" w:rsidRPr="007451F6">
        <w:rPr>
          <w:rFonts w:ascii="Arial" w:hAnsi="Arial" w:cs="Arial"/>
          <w:color w:val="000000"/>
          <w:sz w:val="22"/>
          <w:szCs w:val="22"/>
        </w:rPr>
        <w:t>)obowiązujących</w:t>
      </w:r>
      <w:r w:rsidR="00993133" w:rsidRPr="007451F6">
        <w:rPr>
          <w:rFonts w:ascii="Arial" w:hAnsi="Arial" w:cs="Arial"/>
          <w:color w:val="000000"/>
          <w:sz w:val="22"/>
          <w:szCs w:val="22"/>
        </w:rPr>
        <w:t xml:space="preserve"> od 01.10. 2012r.</w:t>
      </w:r>
      <w:r w:rsidR="007451F6" w:rsidRPr="007451F6">
        <w:rPr>
          <w:rFonts w:ascii="Arial" w:hAnsi="Arial" w:cs="Arial"/>
          <w:color w:val="000000"/>
          <w:sz w:val="22"/>
          <w:szCs w:val="22"/>
        </w:rPr>
        <w:t>).</w:t>
      </w:r>
    </w:p>
    <w:p w:rsidR="005F24BE" w:rsidRPr="007451F6" w:rsidRDefault="005F24BE" w:rsidP="00623814">
      <w:pPr>
        <w:autoSpaceDE w:val="0"/>
        <w:autoSpaceDN w:val="0"/>
        <w:adjustRightInd w:val="0"/>
        <w:rPr>
          <w:color w:val="000000"/>
        </w:rPr>
      </w:pPr>
      <w:r w:rsidRPr="007451F6">
        <w:rPr>
          <w:color w:val="000000"/>
        </w:rPr>
        <w:t xml:space="preserve">Modyfikacje obowiązują  od roku akademickiego 2015/2016 </w:t>
      </w:r>
      <w:r w:rsidRPr="007451F6">
        <w:rPr>
          <w:b/>
          <w:color w:val="000000"/>
        </w:rPr>
        <w:t>(Uchwała Senatu PWr z dnia 24.09.2015).</w:t>
      </w:r>
    </w:p>
    <w:p w:rsidR="005F24BE" w:rsidRDefault="0099313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Komisja odbyła</w:t>
      </w:r>
      <w:r w:rsidR="005F24BE">
        <w:rPr>
          <w:color w:val="000000"/>
        </w:rPr>
        <w:t xml:space="preserve">  </w:t>
      </w:r>
      <w:r w:rsidR="007451F6">
        <w:rPr>
          <w:color w:val="000000"/>
        </w:rPr>
        <w:t xml:space="preserve"> w roku  akademickim 2015/2016 pięć </w:t>
      </w:r>
      <w:r w:rsidR="005F24BE">
        <w:rPr>
          <w:color w:val="000000"/>
        </w:rPr>
        <w:t xml:space="preserve"> spotkań: </w:t>
      </w:r>
      <w:r w:rsidR="007451F6">
        <w:rPr>
          <w:color w:val="000000"/>
        </w:rPr>
        <w:t>05 stycznia 2016</w:t>
      </w:r>
      <w:r w:rsidR="005F24BE">
        <w:rPr>
          <w:color w:val="000000"/>
        </w:rPr>
        <w:t xml:space="preserve">r., </w:t>
      </w:r>
      <w:r w:rsidR="007451F6">
        <w:rPr>
          <w:color w:val="000000"/>
        </w:rPr>
        <w:t>02 marca 2016r.,02 kwietnia 2016</w:t>
      </w:r>
      <w:r w:rsidR="006B373B">
        <w:rPr>
          <w:color w:val="000000"/>
        </w:rPr>
        <w:t>r., 04</w:t>
      </w:r>
      <w:r w:rsidR="005F24BE">
        <w:rPr>
          <w:color w:val="000000"/>
        </w:rPr>
        <w:t xml:space="preserve"> </w:t>
      </w:r>
      <w:r w:rsidR="006B373B">
        <w:rPr>
          <w:color w:val="000000"/>
        </w:rPr>
        <w:t>czerwca 2016r., 06 lipca 2016r.</w:t>
      </w:r>
    </w:p>
    <w:p w:rsidR="005F24BE" w:rsidRDefault="005F24BE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Problematyka spotkań obejmowała sprawy zawarte w pr</w:t>
      </w:r>
      <w:r w:rsidR="00993133">
        <w:rPr>
          <w:color w:val="000000"/>
        </w:rPr>
        <w:t xml:space="preserve">otokołach z posiedzeń </w:t>
      </w:r>
      <w:r w:rsidR="00993133" w:rsidRPr="00230115">
        <w:rPr>
          <w:color w:val="000000"/>
        </w:rPr>
        <w:t>(zał. Nr</w:t>
      </w:r>
      <w:r w:rsidR="00DC5427">
        <w:rPr>
          <w:color w:val="000000"/>
        </w:rPr>
        <w:t xml:space="preserve"> 1</w:t>
      </w:r>
      <w:r w:rsidRPr="00230115">
        <w:rPr>
          <w:color w:val="000000"/>
        </w:rPr>
        <w:t>)</w:t>
      </w:r>
    </w:p>
    <w:p w:rsidR="006A4AA6" w:rsidRPr="006A4AA6" w:rsidRDefault="005F24BE" w:rsidP="006A4AA6">
      <w:r w:rsidRPr="006A4AA6">
        <w:rPr>
          <w:color w:val="000000"/>
        </w:rPr>
        <w:t>Efektem prac  Komisji było wprowadzenie w progr</w:t>
      </w:r>
      <w:r w:rsidR="006B373B" w:rsidRPr="006A4AA6">
        <w:rPr>
          <w:color w:val="000000"/>
        </w:rPr>
        <w:t xml:space="preserve">amach kształcenia </w:t>
      </w:r>
      <w:r w:rsidR="006A4AA6" w:rsidRPr="006A4AA6">
        <w:rPr>
          <w:color w:val="000000"/>
        </w:rPr>
        <w:t>modyfikacji</w:t>
      </w:r>
      <w:r w:rsidR="00E368B7" w:rsidRPr="006A4AA6">
        <w:rPr>
          <w:color w:val="000000"/>
        </w:rPr>
        <w:t xml:space="preserve"> na rok akademicki </w:t>
      </w:r>
      <w:r w:rsidRPr="006A4AA6">
        <w:rPr>
          <w:color w:val="000000"/>
        </w:rPr>
        <w:t xml:space="preserve"> 2015/16 </w:t>
      </w:r>
      <w:r w:rsidR="006B373B" w:rsidRPr="006A4AA6">
        <w:rPr>
          <w:color w:val="000000"/>
        </w:rPr>
        <w:t xml:space="preserve">polegających na wprowadzeniu nowych kursów wybieralnych oraz </w:t>
      </w:r>
      <w:r w:rsidR="006A4AA6" w:rsidRPr="006A4AA6">
        <w:rPr>
          <w:color w:val="000000"/>
        </w:rPr>
        <w:t xml:space="preserve">korekcie niektórych </w:t>
      </w:r>
      <w:r w:rsidR="006B373B" w:rsidRPr="006A4AA6">
        <w:rPr>
          <w:color w:val="000000"/>
        </w:rPr>
        <w:t xml:space="preserve"> kursów obowiązkowych.</w:t>
      </w:r>
      <w:r w:rsidR="006A4AA6" w:rsidRPr="006A4AA6">
        <w:rPr>
          <w:color w:val="000000"/>
        </w:rPr>
        <w:t xml:space="preserve"> Poszczególne Komisje zajmowały się m. innymi:</w:t>
      </w:r>
      <w:r w:rsidR="006A4AA6" w:rsidRPr="006A4AA6">
        <w:t xml:space="preserve"> </w:t>
      </w:r>
    </w:p>
    <w:p w:rsidR="006A4AA6" w:rsidRPr="00D71203" w:rsidRDefault="006A4AA6" w:rsidP="00D71203">
      <w:pPr>
        <w:pStyle w:val="Akapitzlist"/>
        <w:numPr>
          <w:ilvl w:val="0"/>
          <w:numId w:val="22"/>
        </w:numPr>
      </w:pPr>
      <w:r w:rsidRPr="00D71203">
        <w:t>Nowymi  kartami kursów dla studiów I stopnia kier. Architektura</w:t>
      </w:r>
    </w:p>
    <w:p w:rsidR="00C80DE3" w:rsidRPr="00D71203" w:rsidRDefault="00C80DE3" w:rsidP="00D71203">
      <w:pPr>
        <w:numPr>
          <w:ilvl w:val="0"/>
          <w:numId w:val="22"/>
        </w:numPr>
      </w:pPr>
      <w:r w:rsidRPr="00D71203">
        <w:t xml:space="preserve">Modyfikacja siatki kursów dla studiów I stopnia </w:t>
      </w:r>
    </w:p>
    <w:p w:rsidR="00C80DE3" w:rsidRPr="00D71203" w:rsidRDefault="00C80DE3" w:rsidP="00D71203">
      <w:pPr>
        <w:numPr>
          <w:ilvl w:val="0"/>
          <w:numId w:val="22"/>
        </w:numPr>
      </w:pPr>
      <w:r w:rsidRPr="00D71203">
        <w:t>Modyfikacją siatki kursów dla studiów II stopnia kier. Architektura</w:t>
      </w:r>
    </w:p>
    <w:p w:rsidR="00C80DE3" w:rsidRPr="00D71203" w:rsidRDefault="00C80DE3" w:rsidP="00D71203">
      <w:pPr>
        <w:numPr>
          <w:ilvl w:val="0"/>
          <w:numId w:val="22"/>
        </w:numPr>
      </w:pPr>
      <w:r w:rsidRPr="00D71203">
        <w:t xml:space="preserve">Zatwierdzeniem  kart przedmiotów na studiach II stopnia </w:t>
      </w:r>
    </w:p>
    <w:p w:rsidR="00C80DE3" w:rsidRPr="00D71203" w:rsidRDefault="00C80DE3" w:rsidP="00D71203">
      <w:pPr>
        <w:numPr>
          <w:ilvl w:val="0"/>
          <w:numId w:val="22"/>
        </w:numPr>
      </w:pPr>
      <w:r w:rsidRPr="00D71203">
        <w:t xml:space="preserve">Karty kursów wybieralnych dla kier. Gospodarka Przestrzenna </w:t>
      </w:r>
    </w:p>
    <w:p w:rsidR="00C80DE3" w:rsidRPr="00D71203" w:rsidRDefault="006A4AA6" w:rsidP="00D71203">
      <w:pPr>
        <w:pStyle w:val="Akapitzlist"/>
        <w:numPr>
          <w:ilvl w:val="0"/>
          <w:numId w:val="22"/>
        </w:numPr>
      </w:pPr>
      <w:r w:rsidRPr="00D71203">
        <w:lastRenderedPageBreak/>
        <w:t>Modyfikacją siatki kursów dla studiów II stopnia w języku angielskim</w:t>
      </w:r>
      <w:r w:rsidR="00C80DE3" w:rsidRPr="00D71203">
        <w:t xml:space="preserve"> </w:t>
      </w:r>
    </w:p>
    <w:p w:rsidR="00C80DE3" w:rsidRPr="00D71203" w:rsidRDefault="00C80DE3" w:rsidP="00D71203">
      <w:pPr>
        <w:pStyle w:val="Akapitzlist"/>
        <w:numPr>
          <w:ilvl w:val="0"/>
          <w:numId w:val="22"/>
        </w:numPr>
      </w:pPr>
      <w:r w:rsidRPr="00D71203">
        <w:t xml:space="preserve">Nowymi  kartami kursów dla Studiów Doktoranckich </w:t>
      </w:r>
    </w:p>
    <w:p w:rsidR="00C80DE3" w:rsidRPr="00D71203" w:rsidRDefault="00C80DE3" w:rsidP="00D71203">
      <w:pPr>
        <w:pStyle w:val="Akapitzlist"/>
        <w:numPr>
          <w:ilvl w:val="0"/>
          <w:numId w:val="22"/>
        </w:numPr>
      </w:pPr>
      <w:r w:rsidRPr="00D71203">
        <w:t xml:space="preserve">Programami studiów podyplomowych </w:t>
      </w:r>
    </w:p>
    <w:p w:rsidR="00C80DE3" w:rsidRPr="00D71203" w:rsidRDefault="00C80DE3" w:rsidP="00D71203">
      <w:pPr>
        <w:pStyle w:val="Akapitzlist"/>
        <w:numPr>
          <w:ilvl w:val="0"/>
          <w:numId w:val="22"/>
        </w:numPr>
      </w:pPr>
      <w:r w:rsidRPr="00D71203">
        <w:t xml:space="preserve">Dyplomami inżynierskimi - tematy. </w:t>
      </w:r>
    </w:p>
    <w:p w:rsidR="00C80DE3" w:rsidRPr="00D71203" w:rsidRDefault="00C80DE3" w:rsidP="00D71203">
      <w:pPr>
        <w:numPr>
          <w:ilvl w:val="0"/>
          <w:numId w:val="22"/>
        </w:numPr>
      </w:pPr>
      <w:r w:rsidRPr="00D71203">
        <w:t xml:space="preserve">Pytaniami  egzaminacyjnymi- dyplomowymi na II stopniu </w:t>
      </w:r>
    </w:p>
    <w:p w:rsidR="00C80DE3" w:rsidRPr="00D71203" w:rsidRDefault="00C80DE3" w:rsidP="00D71203">
      <w:pPr>
        <w:numPr>
          <w:ilvl w:val="0"/>
          <w:numId w:val="22"/>
        </w:numPr>
      </w:pPr>
      <w:r w:rsidRPr="00D71203">
        <w:t>Zatwierdzeniem formularza oceny/opinii pracy dyplomowej</w:t>
      </w:r>
    </w:p>
    <w:p w:rsidR="00D71203" w:rsidRPr="00D71203" w:rsidRDefault="00D71203" w:rsidP="00D71203">
      <w:pPr>
        <w:pStyle w:val="Akapitzlist"/>
        <w:numPr>
          <w:ilvl w:val="0"/>
          <w:numId w:val="22"/>
        </w:numPr>
      </w:pPr>
      <w:r w:rsidRPr="00D71203">
        <w:t>Portfolio dla kandydatów na studia II stopnia na kier. Architektura</w:t>
      </w:r>
    </w:p>
    <w:p w:rsidR="00D71203" w:rsidRPr="00D71203" w:rsidRDefault="00D71203" w:rsidP="00D71203">
      <w:pPr>
        <w:pStyle w:val="Akapitzlist"/>
        <w:numPr>
          <w:ilvl w:val="0"/>
          <w:numId w:val="22"/>
        </w:numPr>
      </w:pPr>
      <w:r w:rsidRPr="00D71203">
        <w:t xml:space="preserve">Hospitacjami, </w:t>
      </w:r>
    </w:p>
    <w:p w:rsidR="005F24BE" w:rsidRPr="00D71203" w:rsidRDefault="00D71203" w:rsidP="00D71203">
      <w:pPr>
        <w:pStyle w:val="Akapitzlist"/>
        <w:numPr>
          <w:ilvl w:val="0"/>
          <w:numId w:val="22"/>
        </w:numPr>
      </w:pPr>
      <w:r w:rsidRPr="00D71203">
        <w:t>Odpłatnością za studia w języku angielskim.</w:t>
      </w:r>
    </w:p>
    <w:p w:rsidR="00F3041A" w:rsidRDefault="005F24BE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 roku akademickim </w:t>
      </w:r>
      <w:r w:rsidR="00B34033">
        <w:rPr>
          <w:color w:val="000000"/>
        </w:rPr>
        <w:t>2015/2016</w:t>
      </w:r>
      <w:r>
        <w:rPr>
          <w:color w:val="000000"/>
        </w:rPr>
        <w:t xml:space="preserve"> o</w:t>
      </w:r>
      <w:r w:rsidR="00FD6468">
        <w:rPr>
          <w:color w:val="000000"/>
        </w:rPr>
        <w:t>bowiązywały p</w:t>
      </w:r>
      <w:r w:rsidR="00F3041A">
        <w:rPr>
          <w:color w:val="000000"/>
        </w:rPr>
        <w:t>rogramy kształcen</w:t>
      </w:r>
      <w:r w:rsidR="00FA4065">
        <w:rPr>
          <w:color w:val="000000"/>
        </w:rPr>
        <w:t xml:space="preserve">ia </w:t>
      </w:r>
      <w:r w:rsidR="00FD6468">
        <w:rPr>
          <w:color w:val="000000"/>
        </w:rPr>
        <w:t xml:space="preserve">które </w:t>
      </w:r>
      <w:r w:rsidR="00F3041A">
        <w:rPr>
          <w:color w:val="000000"/>
        </w:rPr>
        <w:t>zostały zatwierdzone przez</w:t>
      </w:r>
      <w:r w:rsidR="00FD6468">
        <w:rPr>
          <w:color w:val="000000"/>
        </w:rPr>
        <w:t xml:space="preserve"> </w:t>
      </w:r>
      <w:r w:rsidR="00F3041A">
        <w:rPr>
          <w:color w:val="000000"/>
        </w:rPr>
        <w:t>Radę Wydz</w:t>
      </w:r>
      <w:r w:rsidR="00E9231F">
        <w:rPr>
          <w:color w:val="000000"/>
        </w:rPr>
        <w:t>iału Uchwałami</w:t>
      </w:r>
      <w:r w:rsidR="00FD6468">
        <w:rPr>
          <w:color w:val="000000"/>
        </w:rPr>
        <w:t xml:space="preserve"> Rady Wydziału nr </w:t>
      </w:r>
      <w:r w:rsidR="00E9231F">
        <w:rPr>
          <w:color w:val="000000"/>
        </w:rPr>
        <w:t>53/6/2012</w:t>
      </w:r>
      <w:r w:rsidR="00927A04">
        <w:rPr>
          <w:color w:val="000000"/>
        </w:rPr>
        <w:t xml:space="preserve"> i</w:t>
      </w:r>
      <w:r w:rsidR="00E9231F">
        <w:rPr>
          <w:color w:val="000000"/>
        </w:rPr>
        <w:t xml:space="preserve"> 54/6/2012 </w:t>
      </w:r>
      <w:r w:rsidR="00F3041A">
        <w:rPr>
          <w:color w:val="000000"/>
        </w:rPr>
        <w:t xml:space="preserve">z dnia </w:t>
      </w:r>
      <w:r w:rsidR="00E9231F">
        <w:rPr>
          <w:color w:val="000000"/>
        </w:rPr>
        <w:t>28 marca 2012r</w:t>
      </w:r>
      <w:r w:rsidR="00D71203">
        <w:rPr>
          <w:color w:val="000000"/>
        </w:rPr>
        <w:t xml:space="preserve"> i  zmodyfikowane w 2014r.</w:t>
      </w:r>
      <w:r w:rsidR="00E9231F">
        <w:rPr>
          <w:color w:val="000000"/>
        </w:rPr>
        <w:t>.</w:t>
      </w:r>
    </w:p>
    <w:p w:rsidR="00AA1970" w:rsidRDefault="004F6BD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Program Kształcenia </w:t>
      </w:r>
      <w:r w:rsidR="00564282">
        <w:rPr>
          <w:color w:val="000000"/>
        </w:rPr>
        <w:t xml:space="preserve">obowiązujący w tym roku akademickim </w:t>
      </w:r>
      <w:r>
        <w:rPr>
          <w:color w:val="000000"/>
        </w:rPr>
        <w:t xml:space="preserve"> </w:t>
      </w:r>
      <w:r w:rsidR="00564282">
        <w:rPr>
          <w:color w:val="000000"/>
        </w:rPr>
        <w:t xml:space="preserve">był </w:t>
      </w:r>
      <w:r>
        <w:rPr>
          <w:color w:val="000000"/>
        </w:rPr>
        <w:t xml:space="preserve"> dostępny  na stronie internetowej Wydziału Architektury </w:t>
      </w:r>
      <w:r w:rsidR="00927A04">
        <w:rPr>
          <w:color w:val="000000"/>
        </w:rPr>
        <w:t xml:space="preserve">. </w:t>
      </w:r>
    </w:p>
    <w:p w:rsidR="009717D9" w:rsidRPr="00EF2F5A" w:rsidRDefault="009717D9" w:rsidP="00623814">
      <w:pPr>
        <w:autoSpaceDE w:val="0"/>
        <w:autoSpaceDN w:val="0"/>
        <w:adjustRightInd w:val="0"/>
        <w:rPr>
          <w:b/>
          <w:color w:val="000000"/>
        </w:rPr>
      </w:pPr>
    </w:p>
    <w:p w:rsidR="00F3041A" w:rsidRPr="00606621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606621">
        <w:rPr>
          <w:b/>
          <w:color w:val="000000"/>
        </w:rPr>
        <w:t xml:space="preserve"> Analizowanie inicjatyw projakościowych.</w:t>
      </w:r>
    </w:p>
    <w:p w:rsidR="00F3041A" w:rsidRPr="00D428B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Wydziałowa Komisja</w:t>
      </w:r>
      <w:r w:rsidR="00E368B7">
        <w:rPr>
          <w:color w:val="000000"/>
        </w:rPr>
        <w:t xml:space="preserve"> ds.</w:t>
      </w:r>
      <w:r>
        <w:rPr>
          <w:color w:val="000000"/>
        </w:rPr>
        <w:t xml:space="preserve"> </w:t>
      </w:r>
      <w:r w:rsidR="00E368B7">
        <w:rPr>
          <w:color w:val="000000"/>
        </w:rPr>
        <w:t xml:space="preserve">Oceny i Zapewnienia Jakości Kształcenia </w:t>
      </w:r>
      <w:r>
        <w:rPr>
          <w:color w:val="000000"/>
        </w:rPr>
        <w:t xml:space="preserve"> przedyskutowała, </w:t>
      </w:r>
      <w:r w:rsidR="00D71203">
        <w:rPr>
          <w:color w:val="000000"/>
        </w:rPr>
        <w:t xml:space="preserve">opublikowane </w:t>
      </w:r>
      <w:r w:rsidR="007F4408">
        <w:rPr>
          <w:color w:val="000000"/>
        </w:rPr>
        <w:t xml:space="preserve"> przez Uczelnianą</w:t>
      </w:r>
      <w:r w:rsidR="001A4D20">
        <w:rPr>
          <w:color w:val="000000"/>
        </w:rPr>
        <w:t xml:space="preserve"> Komisję Oceny i Zapewnienia Jakości Kształcenia </w:t>
      </w:r>
      <w:r>
        <w:rPr>
          <w:color w:val="000000"/>
        </w:rPr>
        <w:t xml:space="preserve"> </w:t>
      </w:r>
      <w:r w:rsidR="00D71203">
        <w:rPr>
          <w:color w:val="000000"/>
        </w:rPr>
        <w:t xml:space="preserve">wyniki </w:t>
      </w:r>
      <w:r w:rsidR="00AC564C">
        <w:rPr>
          <w:color w:val="000000"/>
        </w:rPr>
        <w:t xml:space="preserve"> ankietyzacji zajęć dydaktycznych przez studentów</w:t>
      </w:r>
      <w:r w:rsidR="00D71203">
        <w:rPr>
          <w:color w:val="000000"/>
        </w:rPr>
        <w:t xml:space="preserve"> w roku 205/2016</w:t>
      </w:r>
      <w:r>
        <w:rPr>
          <w:color w:val="000000"/>
        </w:rPr>
        <w:t>.</w:t>
      </w:r>
      <w:r w:rsidR="00F76448">
        <w:rPr>
          <w:color w:val="000000"/>
        </w:rPr>
        <w:t xml:space="preserve"> </w:t>
      </w:r>
      <w:r w:rsidR="00D71203">
        <w:rPr>
          <w:color w:val="000000"/>
        </w:rPr>
        <w:t>Ze względu na ograniczony dostęp do wyników ankiet Komisja nie podejmowała w tej kwestii żadnych konkretnych  ustaleń.</w:t>
      </w:r>
    </w:p>
    <w:p w:rsidR="00204038" w:rsidRDefault="00204038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606621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606621">
        <w:rPr>
          <w:b/>
          <w:color w:val="000000"/>
        </w:rPr>
        <w:t xml:space="preserve"> Monitorowanie bazy do prowadzenia zajęć dydaktycznych.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Wydział </w:t>
      </w:r>
      <w:r w:rsidR="00606621">
        <w:rPr>
          <w:color w:val="000000"/>
        </w:rPr>
        <w:t xml:space="preserve">w roku </w:t>
      </w:r>
      <w:r w:rsidR="00B34033">
        <w:rPr>
          <w:color w:val="000000"/>
        </w:rPr>
        <w:t>2015/2016</w:t>
      </w:r>
      <w:r w:rsidR="00606621">
        <w:rPr>
          <w:color w:val="000000"/>
        </w:rPr>
        <w:t xml:space="preserve"> borykał się nadal z trudnościami związanymi z niedostateczną  bazą</w:t>
      </w:r>
      <w:r>
        <w:rPr>
          <w:color w:val="000000"/>
        </w:rPr>
        <w:t xml:space="preserve"> dydaktyczną</w:t>
      </w:r>
      <w:r w:rsidR="00F371B4">
        <w:rPr>
          <w:color w:val="000000"/>
        </w:rPr>
        <w:t xml:space="preserve"> wynikającą z braku sal do prowadzenia ćwiczeń projektowych</w:t>
      </w:r>
      <w:r w:rsidR="00D428BA">
        <w:rPr>
          <w:color w:val="000000"/>
        </w:rPr>
        <w:t xml:space="preserve"> i seminaryjnych</w:t>
      </w:r>
      <w:r w:rsidR="00F371B4">
        <w:rPr>
          <w:color w:val="000000"/>
        </w:rPr>
        <w:t xml:space="preserve">. </w:t>
      </w:r>
      <w:r w:rsidR="00606621">
        <w:rPr>
          <w:color w:val="000000"/>
        </w:rPr>
        <w:t xml:space="preserve">  </w:t>
      </w:r>
      <w:r w:rsidR="00606621">
        <w:rPr>
          <w:color w:val="000000"/>
        </w:rPr>
        <w:tab/>
      </w:r>
    </w:p>
    <w:p w:rsidR="00F371B4" w:rsidRDefault="00BA7221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Przeprowadzono częściową  modernizację systemu AV w </w:t>
      </w:r>
      <w:r w:rsidR="00F371B4">
        <w:rPr>
          <w:color w:val="000000"/>
        </w:rPr>
        <w:t>salach dydaktycznych</w:t>
      </w:r>
      <w:r>
        <w:rPr>
          <w:color w:val="000000"/>
        </w:rPr>
        <w:t xml:space="preserve"> oraz wymianę</w:t>
      </w:r>
      <w:r w:rsidR="004503EA">
        <w:rPr>
          <w:color w:val="000000"/>
        </w:rPr>
        <w:t xml:space="preserve"> mebli</w:t>
      </w:r>
      <w:r w:rsidR="00F371B4">
        <w:rPr>
          <w:color w:val="000000"/>
        </w:rPr>
        <w:t>.</w:t>
      </w:r>
    </w:p>
    <w:p w:rsidR="00230115" w:rsidRPr="00230115" w:rsidRDefault="00230115" w:rsidP="00623814">
      <w:pPr>
        <w:autoSpaceDE w:val="0"/>
        <w:autoSpaceDN w:val="0"/>
        <w:adjustRightInd w:val="0"/>
        <w:rPr>
          <w:color w:val="000000"/>
        </w:rPr>
      </w:pPr>
      <w:r w:rsidRPr="00230115">
        <w:rPr>
          <w:color w:val="000000"/>
        </w:rPr>
        <w:t>W roku akadem</w:t>
      </w:r>
      <w:r w:rsidR="00C85323">
        <w:rPr>
          <w:color w:val="000000"/>
        </w:rPr>
        <w:t xml:space="preserve">ickim </w:t>
      </w:r>
      <w:r w:rsidR="00B34033">
        <w:rPr>
          <w:color w:val="000000"/>
        </w:rPr>
        <w:t>2015/2016</w:t>
      </w:r>
      <w:r w:rsidR="00C85323">
        <w:rPr>
          <w:color w:val="000000"/>
        </w:rPr>
        <w:t xml:space="preserve"> wykonano remont i adaptację </w:t>
      </w:r>
      <w:r w:rsidR="00522A43">
        <w:rPr>
          <w:color w:val="000000"/>
        </w:rPr>
        <w:t xml:space="preserve"> nastę</w:t>
      </w:r>
      <w:r w:rsidRPr="00230115">
        <w:rPr>
          <w:color w:val="000000"/>
        </w:rPr>
        <w:t>pujących pomieszczeń dydaktycznych i pracowniczych:</w:t>
      </w:r>
    </w:p>
    <w:p w:rsidR="00230115" w:rsidRPr="00230115" w:rsidRDefault="00230115" w:rsidP="00623814">
      <w:pPr>
        <w:pStyle w:val="Akapitzlist"/>
        <w:numPr>
          <w:ilvl w:val="0"/>
          <w:numId w:val="19"/>
        </w:numPr>
      </w:pPr>
      <w:r w:rsidRPr="00230115">
        <w:t xml:space="preserve"> Remont  </w:t>
      </w:r>
      <w:r w:rsidR="00BA7221">
        <w:t>budynku E5 na potrzeby Katedry Historii Architektury , Sztuki i Techniki oraz na potrzeby dydaktyki specjalności A i OZ</w:t>
      </w:r>
    </w:p>
    <w:p w:rsidR="00230115" w:rsidRPr="00230115" w:rsidRDefault="00230115" w:rsidP="00623814">
      <w:r w:rsidRPr="00230115">
        <w:t xml:space="preserve">Przeprowadzony kompleksowy remont </w:t>
      </w:r>
      <w:r w:rsidR="00BA7221">
        <w:t>budynku</w:t>
      </w:r>
      <w:r w:rsidRPr="00230115">
        <w:t xml:space="preserve"> wraz z wymianą instalacji. Zakupiono nowe </w:t>
      </w:r>
      <w:r w:rsidR="00BA7221">
        <w:t xml:space="preserve">wyposażenie </w:t>
      </w:r>
      <w:r w:rsidRPr="00230115">
        <w:t>.</w:t>
      </w:r>
    </w:p>
    <w:p w:rsidR="00230115" w:rsidRPr="00230115" w:rsidRDefault="00BA7221" w:rsidP="00623814">
      <w:pPr>
        <w:pStyle w:val="Akapitzlist"/>
        <w:numPr>
          <w:ilvl w:val="0"/>
          <w:numId w:val="19"/>
        </w:numPr>
        <w:rPr>
          <w:bCs/>
        </w:rPr>
      </w:pPr>
      <w:r>
        <w:rPr>
          <w:bCs/>
        </w:rPr>
        <w:t xml:space="preserve">Przeprowadzono remont i rozbudowę budynku E3-biblioteki </w:t>
      </w:r>
    </w:p>
    <w:p w:rsidR="00230115" w:rsidRDefault="00230115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Problemy lokalowe i nieprzyjazne pomieszczenie biblioteki</w:t>
      </w:r>
      <w:r w:rsidR="00BA7221">
        <w:rPr>
          <w:color w:val="000000"/>
        </w:rPr>
        <w:t xml:space="preserve"> w baraku E4  wpływały </w:t>
      </w:r>
      <w:r>
        <w:rPr>
          <w:color w:val="000000"/>
        </w:rPr>
        <w:t xml:space="preserve"> na niską frekwencję ich użytkowania przez studentów naszego Wydziału</w:t>
      </w:r>
      <w:r w:rsidR="00BA7221">
        <w:rPr>
          <w:color w:val="000000"/>
        </w:rPr>
        <w:t xml:space="preserve"> w roku akademickim  2015/2016.</w:t>
      </w:r>
      <w:r>
        <w:rPr>
          <w:color w:val="000000"/>
        </w:rPr>
        <w:t>.</w:t>
      </w:r>
    </w:p>
    <w:p w:rsidR="009E45E8" w:rsidRPr="009E45E8" w:rsidRDefault="009E45E8" w:rsidP="00BA7221">
      <w:r w:rsidRPr="009E45E8">
        <w:t>Dane biblioteczne Oddziału Centrum Wiedzy przy Wydziale Architektury (OCW1/ E-4 i E-1), d</w:t>
      </w:r>
      <w:r w:rsidR="00BA7221">
        <w:t>otyczące roku akademickiego 2015/</w:t>
      </w:r>
      <w:r w:rsidRPr="009E45E8">
        <w:t>2015</w:t>
      </w:r>
      <w:r w:rsidR="00BA7221">
        <w:t xml:space="preserve"> nie zostały udostępnione.</w:t>
      </w:r>
      <w:r w:rsidR="00522A43">
        <w:t xml:space="preserve"> </w:t>
      </w:r>
    </w:p>
    <w:p w:rsidR="00230115" w:rsidRDefault="00BA7221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</w:t>
      </w:r>
      <w:r w:rsidR="009E45E8">
        <w:rPr>
          <w:color w:val="000000"/>
        </w:rPr>
        <w:t>iblioteka jest w dużej mierze niedoinwestowana i wymaga zwiększenia środków na zakup czasopism i książek w formie  tradycyjnej , a w szczególności elektronicznej.</w:t>
      </w:r>
    </w:p>
    <w:p w:rsidR="009E45E8" w:rsidRDefault="009E45E8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F371B4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F371B4">
        <w:rPr>
          <w:b/>
          <w:color w:val="000000"/>
        </w:rPr>
        <w:t xml:space="preserve"> Monitorowanie kwalifikacji nauczycieli akademickich.</w:t>
      </w:r>
    </w:p>
    <w:p w:rsidR="00F3041A" w:rsidRPr="00670560" w:rsidRDefault="004503E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 roku akademickim Komisja monitorowała </w:t>
      </w:r>
      <w:r w:rsidR="00F3041A">
        <w:rPr>
          <w:color w:val="000000"/>
        </w:rPr>
        <w:t xml:space="preserve"> </w:t>
      </w:r>
      <w:r>
        <w:rPr>
          <w:color w:val="000000"/>
        </w:rPr>
        <w:t>kwalifikacje</w:t>
      </w:r>
      <w:r w:rsidR="00F3041A">
        <w:rPr>
          <w:color w:val="000000"/>
        </w:rPr>
        <w:t xml:space="preserve"> nauczycieli akademickich</w:t>
      </w:r>
      <w:r>
        <w:rPr>
          <w:color w:val="000000"/>
        </w:rPr>
        <w:t xml:space="preserve"> do prowadzenia zajęć </w:t>
      </w:r>
      <w:r w:rsidR="00F3041A">
        <w:rPr>
          <w:color w:val="000000"/>
        </w:rPr>
        <w:t xml:space="preserve"> </w:t>
      </w:r>
      <w:r>
        <w:rPr>
          <w:color w:val="000000"/>
        </w:rPr>
        <w:t xml:space="preserve">poszczególnych zajęć dydaktycznych </w:t>
      </w:r>
      <w:r w:rsidR="00F3041A">
        <w:rPr>
          <w:color w:val="000000"/>
        </w:rPr>
        <w:t>poprzez:</w:t>
      </w:r>
    </w:p>
    <w:p w:rsidR="00F768E3" w:rsidRDefault="00AC564C" w:rsidP="0062381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Analizę publikacji naukowych</w:t>
      </w:r>
      <w:r w:rsidR="00670560">
        <w:rPr>
          <w:color w:val="000000"/>
        </w:rPr>
        <w:t xml:space="preserve"> praco</w:t>
      </w:r>
      <w:r w:rsidR="00670560" w:rsidRPr="00670560">
        <w:rPr>
          <w:color w:val="000000"/>
        </w:rPr>
        <w:t xml:space="preserve">wników w </w:t>
      </w:r>
      <w:r w:rsidR="00670560">
        <w:rPr>
          <w:color w:val="000000"/>
        </w:rPr>
        <w:t xml:space="preserve">obszarach </w:t>
      </w:r>
      <w:r w:rsidR="00670560" w:rsidRPr="00670560">
        <w:rPr>
          <w:color w:val="000000"/>
        </w:rPr>
        <w:t xml:space="preserve"> prowadzonych zajęć dydaktycznych</w:t>
      </w:r>
    </w:p>
    <w:p w:rsidR="00670560" w:rsidRDefault="00670560" w:rsidP="0062381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Kursy pedagogiczne doktorantów</w:t>
      </w:r>
      <w:r w:rsidR="00AC564C">
        <w:rPr>
          <w:color w:val="000000"/>
        </w:rPr>
        <w:t xml:space="preserve"> oraz  sprawdzanie kompetencji do prowadzenia zajęć z projektowania architektonicznego</w:t>
      </w:r>
    </w:p>
    <w:p w:rsidR="00670560" w:rsidRDefault="004503EA" w:rsidP="0062381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Kwalifikacje pracowników w zakresie uprawnień budowlanych  w specjalności architektonicznej</w:t>
      </w:r>
      <w:r w:rsidR="00784D21">
        <w:rPr>
          <w:color w:val="000000"/>
        </w:rPr>
        <w:t xml:space="preserve"> w wypadku prowadzenia prac dyplomowych na kierunku Architektura </w:t>
      </w:r>
    </w:p>
    <w:p w:rsidR="00F768E3" w:rsidRPr="00670560" w:rsidRDefault="00670560" w:rsidP="00623814">
      <w:pPr>
        <w:pStyle w:val="Akapitzlist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Przed rozpoczęciem roku akademickiego</w:t>
      </w:r>
      <w:r w:rsidR="00522A43">
        <w:rPr>
          <w:color w:val="000000"/>
        </w:rPr>
        <w:t xml:space="preserve"> nauczyciele akademiccy składali</w:t>
      </w:r>
      <w:r>
        <w:rPr>
          <w:color w:val="000000"/>
        </w:rPr>
        <w:t xml:space="preserve"> pisemne oświadczenia,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będące podstawą do zaliczenia</w:t>
      </w:r>
      <w:r w:rsidR="00AC564C">
        <w:rPr>
          <w:color w:val="000000"/>
        </w:rPr>
        <w:t xml:space="preserve"> do minimum kadrowego Wydziału dla poszczególnych stopni i kierunków studiów.</w:t>
      </w:r>
    </w:p>
    <w:p w:rsidR="00670560" w:rsidRDefault="00670560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7F4408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7F4408">
        <w:rPr>
          <w:b/>
          <w:color w:val="000000"/>
        </w:rPr>
        <w:t xml:space="preserve"> Monitorowanie prac dyplomowych i przebiegu egzaminów dyplomowych.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</w:p>
    <w:p w:rsidR="00F06757" w:rsidRDefault="00522A4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670560">
        <w:rPr>
          <w:color w:val="000000"/>
        </w:rPr>
        <w:t>Zakres</w:t>
      </w:r>
      <w:r w:rsidR="00F06757">
        <w:rPr>
          <w:color w:val="000000"/>
        </w:rPr>
        <w:t xml:space="preserve"> i sposób opracowania  prac dyplomowych na I i II stopniu studiów regulują odpowiednie dokumenty dostępne na stronach internetowych Wydziału.</w:t>
      </w:r>
      <w:r w:rsidR="001D08C6" w:rsidRPr="001D08C6">
        <w:rPr>
          <w:color w:val="000000"/>
        </w:rPr>
        <w:t xml:space="preserve"> </w:t>
      </w:r>
      <w:r w:rsidR="001D08C6">
        <w:rPr>
          <w:color w:val="000000"/>
        </w:rPr>
        <w:t>Na stronie internetowej WA znajdują się (do pobrania) wzory innych dokumentów związanych z egzaminem dyplomowym.</w:t>
      </w:r>
      <w:r w:rsidR="00165522">
        <w:rPr>
          <w:color w:val="000000"/>
        </w:rPr>
        <w:t xml:space="preserve"> </w:t>
      </w:r>
      <w:r w:rsidR="00F06757">
        <w:rPr>
          <w:color w:val="000000"/>
        </w:rPr>
        <w:t>Przebieg procesu</w:t>
      </w:r>
      <w:r w:rsidR="001D08C6">
        <w:rPr>
          <w:color w:val="000000"/>
        </w:rPr>
        <w:t xml:space="preserve"> dyplomowania </w:t>
      </w:r>
      <w:r w:rsidR="00F06757">
        <w:rPr>
          <w:color w:val="000000"/>
        </w:rPr>
        <w:t xml:space="preserve"> jest szczegółowo opisany w Księdze Procedur  Wydziału Architektury.</w:t>
      </w:r>
    </w:p>
    <w:p w:rsidR="001D08C6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Organizację prac dyplomowych, </w:t>
      </w:r>
      <w:r w:rsidR="00F06757">
        <w:rPr>
          <w:color w:val="000000"/>
        </w:rPr>
        <w:t xml:space="preserve">egzaminów dyplomowania </w:t>
      </w:r>
      <w:r>
        <w:rPr>
          <w:color w:val="000000"/>
        </w:rPr>
        <w:t>dyplomowych oraz ich harmonogram</w:t>
      </w:r>
      <w:r w:rsidR="00165522">
        <w:rPr>
          <w:color w:val="000000"/>
        </w:rPr>
        <w:t xml:space="preserve"> </w:t>
      </w:r>
      <w:r>
        <w:rPr>
          <w:color w:val="000000"/>
        </w:rPr>
        <w:t>podaje dziekanat</w:t>
      </w:r>
      <w:r w:rsidR="00F06757">
        <w:rPr>
          <w:color w:val="000000"/>
        </w:rPr>
        <w:t xml:space="preserve"> </w:t>
      </w:r>
      <w:r>
        <w:rPr>
          <w:color w:val="000000"/>
        </w:rPr>
        <w:t>Wydziału</w:t>
      </w:r>
      <w:r w:rsidR="004354C8">
        <w:rPr>
          <w:color w:val="000000"/>
        </w:rPr>
        <w:t xml:space="preserve"> pismami wewnę</w:t>
      </w:r>
      <w:r w:rsidR="00F06757">
        <w:rPr>
          <w:color w:val="000000"/>
        </w:rPr>
        <w:t>trz</w:t>
      </w:r>
      <w:r w:rsidR="004354C8">
        <w:rPr>
          <w:color w:val="000000"/>
        </w:rPr>
        <w:t>n</w:t>
      </w:r>
      <w:r w:rsidR="00F06757">
        <w:rPr>
          <w:color w:val="000000"/>
        </w:rPr>
        <w:t>ymi</w:t>
      </w:r>
      <w:r>
        <w:rPr>
          <w:color w:val="000000"/>
        </w:rPr>
        <w:t xml:space="preserve">. </w:t>
      </w:r>
      <w:r w:rsidR="004354C8">
        <w:rPr>
          <w:color w:val="000000"/>
        </w:rPr>
        <w:t xml:space="preserve"> </w:t>
      </w:r>
    </w:p>
    <w:p w:rsidR="001D08C6" w:rsidRDefault="00AC564C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 roku akademickim </w:t>
      </w:r>
      <w:r w:rsidR="00B34033">
        <w:rPr>
          <w:color w:val="000000"/>
        </w:rPr>
        <w:t>2015/2016</w:t>
      </w:r>
      <w:r>
        <w:rPr>
          <w:color w:val="000000"/>
        </w:rPr>
        <w:t xml:space="preserve">r. sporządzono </w:t>
      </w:r>
      <w:r w:rsidR="004354C8">
        <w:rPr>
          <w:color w:val="000000"/>
        </w:rPr>
        <w:t>nowy zestaw pytań wraz z modelowymi odpowiedziami do egzaminu dyplomowego na II stopniu studiów na kierunku Architektura</w:t>
      </w:r>
      <w:r w:rsidR="00294D93">
        <w:rPr>
          <w:color w:val="000000"/>
        </w:rPr>
        <w:t xml:space="preserve"> </w:t>
      </w:r>
      <w:r w:rsidR="004354C8">
        <w:rPr>
          <w:color w:val="000000"/>
        </w:rPr>
        <w:t xml:space="preserve"> or</w:t>
      </w:r>
      <w:r w:rsidR="005E3F47">
        <w:rPr>
          <w:color w:val="000000"/>
        </w:rPr>
        <w:t>a</w:t>
      </w:r>
      <w:r w:rsidR="004354C8">
        <w:rPr>
          <w:color w:val="000000"/>
        </w:rPr>
        <w:t>z zmodyfikowano testy egzaminacyjne na kierunku Gospodarka Przestrzenna.</w:t>
      </w:r>
      <w:r w:rsidR="00165522">
        <w:rPr>
          <w:color w:val="000000"/>
        </w:rPr>
        <w:t xml:space="preserve"> Ponadto opracowane nowe formularze opinii i oceny prac dyplomowych.</w:t>
      </w:r>
    </w:p>
    <w:p w:rsidR="001D08C6" w:rsidRDefault="001D08C6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Statystykę egz</w:t>
      </w:r>
      <w:r w:rsidR="005E3F47">
        <w:rPr>
          <w:color w:val="000000"/>
        </w:rPr>
        <w:t>aminów dyplomowych przedstawiono</w:t>
      </w:r>
      <w:r w:rsidR="002B633E">
        <w:rPr>
          <w:color w:val="000000"/>
        </w:rPr>
        <w:t xml:space="preserve"> w tabelach </w:t>
      </w:r>
      <w:r w:rsidR="00294D93">
        <w:rPr>
          <w:color w:val="000000"/>
        </w:rPr>
        <w:t>w języku polski i w języku angielskim.</w:t>
      </w:r>
    </w:p>
    <w:p w:rsidR="00BA0A13" w:rsidRDefault="00BA0A13" w:rsidP="0062381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3232"/>
        <w:gridCol w:w="3234"/>
      </w:tblGrid>
      <w:tr w:rsidR="00BA0A13" w:rsidRPr="001D08C6" w:rsidTr="00BA0A13">
        <w:trPr>
          <w:trHeight w:val="118"/>
        </w:trPr>
        <w:tc>
          <w:tcPr>
            <w:tcW w:w="9448" w:type="dxa"/>
            <w:gridSpan w:val="3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EGZAMINY DYPLOMOWE  W ROKU AKADEMICKIM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2015/2016</w:t>
            </w: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A0A13" w:rsidRPr="001D08C6" w:rsidTr="00BA0A13">
        <w:trPr>
          <w:trHeight w:val="121"/>
        </w:trPr>
        <w:tc>
          <w:tcPr>
            <w:tcW w:w="9448" w:type="dxa"/>
            <w:gridSpan w:val="3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Ogółem pozytywnie zdało  egzamin dyplomowy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</w:t>
            </w: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08C6">
              <w:rPr>
                <w:rFonts w:ascii="Arial" w:hAnsi="Arial" w:cs="Arial"/>
                <w:sz w:val="20"/>
                <w:szCs w:val="20"/>
              </w:rPr>
              <w:t>studentów, w tym:</w:t>
            </w:r>
          </w:p>
        </w:tc>
      </w:tr>
      <w:tr w:rsidR="00BA0A13" w:rsidRPr="001D08C6" w:rsidTr="00BA0A13">
        <w:trPr>
          <w:trHeight w:val="215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Rok akademicki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Architektura i Urbanistyka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Gospodarka Przestrzenna</w:t>
            </w:r>
          </w:p>
        </w:tc>
      </w:tr>
      <w:tr w:rsidR="00BA0A13" w:rsidRPr="001D08C6" w:rsidTr="00BA0A13">
        <w:trPr>
          <w:trHeight w:val="118"/>
        </w:trPr>
        <w:tc>
          <w:tcPr>
            <w:tcW w:w="9448" w:type="dxa"/>
            <w:gridSpan w:val="3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2015/2016</w:t>
            </w:r>
          </w:p>
        </w:tc>
      </w:tr>
      <w:tr w:rsidR="00BA0A13" w:rsidRPr="001D08C6" w:rsidTr="00BA0A13">
        <w:trPr>
          <w:trHeight w:val="118"/>
        </w:trPr>
        <w:tc>
          <w:tcPr>
            <w:tcW w:w="9448" w:type="dxa"/>
            <w:gridSpan w:val="3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systemie stacjonarnym:</w:t>
            </w:r>
          </w:p>
        </w:tc>
      </w:tr>
      <w:tr w:rsidR="00BA0A13" w:rsidRPr="001D08C6" w:rsidTr="00BA0A13">
        <w:trPr>
          <w:trHeight w:val="121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 stopnia inżynierskie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BA0A13" w:rsidRPr="001D08C6" w:rsidTr="00BA0A13">
        <w:trPr>
          <w:trHeight w:val="121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II stopnia magisterskie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A0A13" w:rsidRPr="001D08C6" w:rsidTr="00BA0A13">
        <w:trPr>
          <w:trHeight w:val="121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jednolite magisterskie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0A13" w:rsidRPr="001D08C6" w:rsidTr="00BA0A13">
        <w:trPr>
          <w:trHeight w:val="121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II stopnia w j. ang.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A0A13" w:rsidRPr="001D08C6" w:rsidTr="00BA0A13">
        <w:trPr>
          <w:trHeight w:val="124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II wieczorowe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0A13" w:rsidRPr="001D08C6" w:rsidTr="00BA0A13">
        <w:trPr>
          <w:trHeight w:val="118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BA0A13" w:rsidRPr="001D08C6" w:rsidTr="00BA0A13">
        <w:trPr>
          <w:trHeight w:val="118"/>
        </w:trPr>
        <w:tc>
          <w:tcPr>
            <w:tcW w:w="9448" w:type="dxa"/>
            <w:gridSpan w:val="3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systemie niestacjonarnym:</w:t>
            </w:r>
          </w:p>
        </w:tc>
      </w:tr>
      <w:tr w:rsidR="00BA0A13" w:rsidRPr="001D08C6" w:rsidTr="00BA0A13">
        <w:trPr>
          <w:trHeight w:val="124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 stopnia inżynierskie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0A13" w:rsidRPr="001D08C6" w:rsidTr="00BA0A13">
        <w:trPr>
          <w:trHeight w:val="124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jednolite magisterskie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0A13" w:rsidRPr="001D08C6" w:rsidTr="00BA0A13">
        <w:trPr>
          <w:trHeight w:val="118"/>
        </w:trPr>
        <w:tc>
          <w:tcPr>
            <w:tcW w:w="2982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3232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34" w:type="dxa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A0A13" w:rsidRDefault="00BA0A13" w:rsidP="00623814">
      <w:pPr>
        <w:autoSpaceDE w:val="0"/>
        <w:autoSpaceDN w:val="0"/>
        <w:adjustRightInd w:val="0"/>
        <w:rPr>
          <w:color w:val="000000"/>
        </w:rPr>
      </w:pPr>
    </w:p>
    <w:p w:rsidR="001D08C6" w:rsidRDefault="001D08C6" w:rsidP="00623814">
      <w:pPr>
        <w:autoSpaceDE w:val="0"/>
        <w:autoSpaceDN w:val="0"/>
        <w:adjustRightInd w:val="0"/>
        <w:rPr>
          <w:color w:val="000000"/>
        </w:rPr>
      </w:pPr>
      <w:r w:rsidRPr="001D08C6">
        <w:rPr>
          <w:color w:val="000000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677"/>
        <w:gridCol w:w="1793"/>
        <w:gridCol w:w="236"/>
        <w:gridCol w:w="1355"/>
        <w:gridCol w:w="677"/>
        <w:gridCol w:w="2976"/>
        <w:gridCol w:w="680"/>
      </w:tblGrid>
      <w:tr w:rsidR="00BA0A13" w:rsidRPr="001D08C6" w:rsidTr="00BA0A13">
        <w:trPr>
          <w:trHeight w:val="98"/>
        </w:trPr>
        <w:tc>
          <w:tcPr>
            <w:tcW w:w="9497" w:type="dxa"/>
            <w:gridSpan w:val="8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ZESTAWIENIE DOTYCZACE ROKU AKADEMICKIEGO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2015/2016</w:t>
            </w:r>
          </w:p>
        </w:tc>
      </w:tr>
      <w:tr w:rsidR="00BA0A13" w:rsidRPr="001D08C6" w:rsidTr="00BA0A13">
        <w:trPr>
          <w:trHeight w:val="300"/>
        </w:trPr>
        <w:tc>
          <w:tcPr>
            <w:tcW w:w="9497" w:type="dxa"/>
            <w:gridSpan w:val="8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LICZBA DYPLOMANTÓW Z PODZIAŁEM NA STOPIEŃ STUDIÓW</w:t>
            </w:r>
          </w:p>
        </w:tc>
      </w:tr>
      <w:tr w:rsidR="00BA0A13" w:rsidRPr="001D08C6" w:rsidTr="00BA0A13">
        <w:trPr>
          <w:trHeight w:val="125"/>
        </w:trPr>
        <w:tc>
          <w:tcPr>
            <w:tcW w:w="3573" w:type="dxa"/>
            <w:gridSpan w:val="3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- GO STOPNIA </w:t>
            </w:r>
          </w:p>
        </w:tc>
        <w:tc>
          <w:tcPr>
            <w:tcW w:w="5924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- GO STOPNIA </w:t>
            </w:r>
          </w:p>
        </w:tc>
      </w:tr>
      <w:tr w:rsidR="00BA0A13" w:rsidRPr="001D08C6" w:rsidTr="00BA0A13">
        <w:trPr>
          <w:trHeight w:val="127"/>
        </w:trPr>
        <w:tc>
          <w:tcPr>
            <w:tcW w:w="1103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</w:tc>
        <w:tc>
          <w:tcPr>
            <w:tcW w:w="2470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dyplomie</w:t>
            </w:r>
          </w:p>
        </w:tc>
        <w:tc>
          <w:tcPr>
            <w:tcW w:w="236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</w:tc>
        <w:tc>
          <w:tcPr>
            <w:tcW w:w="3653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dyplomie</w:t>
            </w:r>
          </w:p>
        </w:tc>
        <w:tc>
          <w:tcPr>
            <w:tcW w:w="680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13" w:rsidRPr="001D08C6" w:rsidTr="00BA0A13">
        <w:trPr>
          <w:trHeight w:val="132"/>
        </w:trPr>
        <w:tc>
          <w:tcPr>
            <w:tcW w:w="1103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470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A0A13" w:rsidRPr="00A06685" w:rsidRDefault="00BA0A13" w:rsidP="00BA0A1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06685"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3653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13" w:rsidRPr="001D08C6" w:rsidTr="00BA0A13">
        <w:trPr>
          <w:trHeight w:val="132"/>
        </w:trPr>
        <w:tc>
          <w:tcPr>
            <w:tcW w:w="1103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70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36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3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680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13" w:rsidRPr="001D08C6" w:rsidTr="00BA0A13">
        <w:trPr>
          <w:trHeight w:val="132"/>
        </w:trPr>
        <w:tc>
          <w:tcPr>
            <w:tcW w:w="1103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470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653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80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13" w:rsidRPr="001D08C6" w:rsidTr="00BA0A13">
        <w:trPr>
          <w:trHeight w:val="132"/>
        </w:trPr>
        <w:tc>
          <w:tcPr>
            <w:tcW w:w="1103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70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36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3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0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13" w:rsidRPr="001D08C6" w:rsidTr="00BA0A13">
        <w:trPr>
          <w:trHeight w:val="132"/>
        </w:trPr>
        <w:tc>
          <w:tcPr>
            <w:tcW w:w="1103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470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3653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13" w:rsidRPr="001D08C6" w:rsidTr="00BA0A13">
        <w:trPr>
          <w:trHeight w:val="132"/>
        </w:trPr>
        <w:tc>
          <w:tcPr>
            <w:tcW w:w="1103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70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3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13" w:rsidRPr="001D08C6" w:rsidTr="00BA0A13">
        <w:trPr>
          <w:trHeight w:val="132"/>
        </w:trPr>
        <w:tc>
          <w:tcPr>
            <w:tcW w:w="1103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70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3" w:type="dxa"/>
            <w:gridSpan w:val="2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13" w:rsidRPr="001D08C6" w:rsidTr="00BA0A13">
        <w:trPr>
          <w:trHeight w:val="127"/>
        </w:trPr>
        <w:tc>
          <w:tcPr>
            <w:tcW w:w="1780" w:type="dxa"/>
            <w:gridSpan w:val="2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1793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268" w:type="dxa"/>
            <w:gridSpan w:val="3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3656" w:type="dxa"/>
            <w:gridSpan w:val="2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</w:tr>
      <w:tr w:rsidR="00BA0A13" w:rsidRPr="001D08C6" w:rsidTr="00BA0A13">
        <w:trPr>
          <w:trHeight w:val="127"/>
        </w:trPr>
        <w:tc>
          <w:tcPr>
            <w:tcW w:w="9497" w:type="dxa"/>
            <w:gridSpan w:val="8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LICZBA DYPLOMANTÓW W ROKU AKADEMICKIM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BA0A13" w:rsidRPr="001D08C6" w:rsidTr="00BA0A13">
        <w:trPr>
          <w:trHeight w:val="127"/>
        </w:trPr>
        <w:tc>
          <w:tcPr>
            <w:tcW w:w="9497" w:type="dxa"/>
            <w:gridSpan w:val="8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liczbie 531</w:t>
            </w:r>
            <w:r w:rsidRPr="001D08C6">
              <w:rPr>
                <w:rFonts w:ascii="Arial" w:hAnsi="Arial" w:cs="Arial"/>
                <w:sz w:val="20"/>
                <w:szCs w:val="20"/>
              </w:rPr>
              <w:t xml:space="preserve"> jes</w:t>
            </w:r>
            <w:r>
              <w:rPr>
                <w:rFonts w:ascii="Arial" w:hAnsi="Arial" w:cs="Arial"/>
                <w:sz w:val="20"/>
                <w:szCs w:val="20"/>
              </w:rPr>
              <w:t xml:space="preserve">t 12 </w:t>
            </w:r>
            <w:r w:rsidRPr="001D08C6">
              <w:rPr>
                <w:rFonts w:ascii="Arial" w:hAnsi="Arial" w:cs="Arial"/>
                <w:sz w:val="20"/>
                <w:szCs w:val="20"/>
              </w:rPr>
              <w:t>studentów broniących w j. angielskim</w:t>
            </w:r>
          </w:p>
        </w:tc>
      </w:tr>
      <w:tr w:rsidR="00BA0A13" w:rsidRPr="001D08C6" w:rsidTr="00BA0A13">
        <w:trPr>
          <w:trHeight w:val="127"/>
        </w:trPr>
        <w:tc>
          <w:tcPr>
            <w:tcW w:w="9497" w:type="dxa"/>
            <w:gridSpan w:val="8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Plus…-……..</w:t>
            </w:r>
            <w:r w:rsidRPr="001D08C6">
              <w:rPr>
                <w:rFonts w:ascii="Arial" w:hAnsi="Arial" w:cs="Arial"/>
                <w:sz w:val="20"/>
                <w:szCs w:val="20"/>
              </w:rPr>
              <w:t xml:space="preserve"> studentów ze studiów jednolitych</w:t>
            </w:r>
          </w:p>
        </w:tc>
      </w:tr>
      <w:tr w:rsidR="00BA0A13" w:rsidRPr="001D08C6" w:rsidTr="00BA0A13">
        <w:trPr>
          <w:trHeight w:val="300"/>
        </w:trPr>
        <w:tc>
          <w:tcPr>
            <w:tcW w:w="9497" w:type="dxa"/>
            <w:gridSpan w:val="8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LICZBA STUDENTÓW Z OCENĄ NEGATYWNĄ Z KURSU PRACA DYPLOMOWA</w:t>
            </w:r>
          </w:p>
        </w:tc>
      </w:tr>
      <w:tr w:rsidR="00BA0A13" w:rsidRPr="001D08C6" w:rsidTr="00BA0A13">
        <w:trPr>
          <w:trHeight w:val="125"/>
        </w:trPr>
        <w:tc>
          <w:tcPr>
            <w:tcW w:w="3573" w:type="dxa"/>
            <w:gridSpan w:val="3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- GO STOPNIA </w:t>
            </w:r>
          </w:p>
        </w:tc>
        <w:tc>
          <w:tcPr>
            <w:tcW w:w="5924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- GO STOPNIA </w:t>
            </w:r>
          </w:p>
        </w:tc>
      </w:tr>
      <w:tr w:rsidR="00BA0A13" w:rsidRPr="001D08C6" w:rsidTr="00BA0A13">
        <w:trPr>
          <w:trHeight w:val="127"/>
        </w:trPr>
        <w:tc>
          <w:tcPr>
            <w:tcW w:w="3573" w:type="dxa"/>
            <w:gridSpan w:val="3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24" w:type="dxa"/>
            <w:gridSpan w:val="5"/>
          </w:tcPr>
          <w:p w:rsidR="00BA0A13" w:rsidRPr="001D08C6" w:rsidRDefault="00BA0A13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1D08C6" w:rsidRDefault="001D08C6" w:rsidP="00623814">
      <w:pPr>
        <w:autoSpaceDE w:val="0"/>
        <w:autoSpaceDN w:val="0"/>
        <w:adjustRightInd w:val="0"/>
        <w:rPr>
          <w:color w:val="000000"/>
        </w:rPr>
      </w:pPr>
    </w:p>
    <w:p w:rsidR="00AC564C" w:rsidRDefault="00AC564C" w:rsidP="00623814">
      <w:pPr>
        <w:autoSpaceDE w:val="0"/>
        <w:autoSpaceDN w:val="0"/>
        <w:adjustRightInd w:val="0"/>
        <w:rPr>
          <w:color w:val="000000"/>
        </w:rPr>
      </w:pPr>
    </w:p>
    <w:p w:rsidR="005E3F47" w:rsidRDefault="00A84BB6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Analiza wyników  zdawalności i ocen z egzaminów dyplomowych wskazuje na przeważającą  liczbę  ocen bardzo dobrych  z prac dyplomowych i egzaminów, w szczególności na stopniu magisterskim. Jest to zjawisko niekorzystne,  wymagające analizy </w:t>
      </w:r>
      <w:r w:rsidR="007E56C4">
        <w:rPr>
          <w:color w:val="000000"/>
        </w:rPr>
        <w:t xml:space="preserve">przez Wydziałową Komisję ds. Oceny i Zapewnienia Jakości Kształcenia </w:t>
      </w:r>
      <w:r>
        <w:rPr>
          <w:color w:val="000000"/>
        </w:rPr>
        <w:t xml:space="preserve">i </w:t>
      </w:r>
      <w:r>
        <w:rPr>
          <w:color w:val="000000"/>
        </w:rPr>
        <w:lastRenderedPageBreak/>
        <w:t>wyciągnię</w:t>
      </w:r>
      <w:r w:rsidR="007E56C4">
        <w:rPr>
          <w:color w:val="000000"/>
        </w:rPr>
        <w:t xml:space="preserve">cia wniosków np. w zakresie </w:t>
      </w:r>
      <w:r w:rsidR="005E3F47">
        <w:rPr>
          <w:color w:val="000000"/>
        </w:rPr>
        <w:t>kryteriów i sposobu ewaluacji egzaminów i prac dyplomowych.</w:t>
      </w:r>
    </w:p>
    <w:p w:rsidR="00E54D02" w:rsidRPr="00E54D02" w:rsidRDefault="00E54D0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Tematy prac dyplomowych na studiach inżynierskich  były przedmiotem dyskusji </w:t>
      </w:r>
      <w:r w:rsidRPr="00E54D02">
        <w:rPr>
          <w:color w:val="000000"/>
        </w:rPr>
        <w:t>Wydziałowej Komisji ds. Oceny i Zapewnienia  Jakości Kształcenia</w:t>
      </w:r>
      <w:r>
        <w:rPr>
          <w:color w:val="000000"/>
        </w:rPr>
        <w:t xml:space="preserve"> w wyniku której </w:t>
      </w:r>
      <w:r w:rsidR="00BA0A13">
        <w:rPr>
          <w:color w:val="000000"/>
        </w:rPr>
        <w:t>pozostawiono ich liczbę- 10 i tematykę niezmienioną</w:t>
      </w:r>
      <w:r>
        <w:rPr>
          <w:color w:val="000000"/>
        </w:rPr>
        <w:t>.</w:t>
      </w:r>
      <w:r w:rsidR="00252563">
        <w:rPr>
          <w:color w:val="000000"/>
        </w:rPr>
        <w:t xml:space="preserve"> </w:t>
      </w:r>
      <w:r w:rsidR="00294D93">
        <w:rPr>
          <w:color w:val="000000"/>
        </w:rPr>
        <w:t>Uszczeg</w:t>
      </w:r>
      <w:r w:rsidR="00252563">
        <w:rPr>
          <w:color w:val="000000"/>
        </w:rPr>
        <w:t>ółowienie tematów pozostawiono do decyzji promotorów i dyplomantów.</w:t>
      </w:r>
    </w:p>
    <w:p w:rsidR="005662EC" w:rsidRPr="005662EC" w:rsidRDefault="00E54D02" w:rsidP="00BA0A13">
      <w:r w:rsidRPr="005662EC">
        <w:rPr>
          <w:color w:val="000000"/>
        </w:rPr>
        <w:t>Rada Wydziału</w:t>
      </w:r>
      <w:r w:rsidR="005662EC" w:rsidRPr="005662EC">
        <w:rPr>
          <w:color w:val="000000"/>
        </w:rPr>
        <w:t xml:space="preserve"> Architektury </w:t>
      </w:r>
      <w:r w:rsidRPr="005662EC">
        <w:rPr>
          <w:color w:val="000000"/>
        </w:rPr>
        <w:t xml:space="preserve"> podjęła uchwałę akceptującą tematykę prac inżynierskich</w:t>
      </w:r>
      <w:r w:rsidR="005662EC" w:rsidRPr="005662EC">
        <w:rPr>
          <w:color w:val="000000"/>
        </w:rPr>
        <w:t xml:space="preserve"> na obu kierunkach na </w:t>
      </w:r>
      <w:r w:rsidR="005662EC" w:rsidRPr="005662EC">
        <w:t xml:space="preserve">posiedzeniu  w </w:t>
      </w:r>
      <w:r w:rsidR="005662EC" w:rsidRPr="00BA0A13">
        <w:t xml:space="preserve">dniu </w:t>
      </w:r>
      <w:r w:rsidR="00BA0A13" w:rsidRPr="00BA0A13">
        <w:rPr>
          <w:rFonts w:eastAsiaTheme="minorHAnsi"/>
          <w:bCs/>
          <w:lang w:eastAsia="en-US"/>
        </w:rPr>
        <w:t>28.10.2015 r.</w:t>
      </w:r>
    </w:p>
    <w:p w:rsidR="005662EC" w:rsidRPr="00E54D02" w:rsidRDefault="005662EC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Tematy prac dyplomowych na studiach magisterskich   były przedmiotem dyskusji </w:t>
      </w:r>
      <w:r w:rsidRPr="00E54D02">
        <w:rPr>
          <w:color w:val="000000"/>
        </w:rPr>
        <w:t>Wydziałowej Komisji ds. Oceny i Zapewnienia  Jakości Kształcenia</w:t>
      </w:r>
      <w:r>
        <w:rPr>
          <w:color w:val="000000"/>
        </w:rPr>
        <w:t xml:space="preserve"> w wyniku której przedstawiono do akceptacji Rady Wydziału Architektury 235 tematów na obu kierunkach .</w:t>
      </w:r>
    </w:p>
    <w:p w:rsidR="005662EC" w:rsidRPr="005662EC" w:rsidRDefault="005662EC" w:rsidP="00BA0A13">
      <w:pPr>
        <w:rPr>
          <w:rFonts w:eastAsia="Times New Roman"/>
        </w:rPr>
      </w:pPr>
      <w:r w:rsidRPr="005662EC">
        <w:rPr>
          <w:color w:val="000000"/>
        </w:rPr>
        <w:t xml:space="preserve">Rada Wydziału Architektury  podjęła uchwałę akceptującą tematykę prac magisterskich  na obu kierunkach na </w:t>
      </w:r>
      <w:r w:rsidRPr="005662EC">
        <w:t xml:space="preserve">posiedzeniu  w dniu </w:t>
      </w:r>
      <w:r w:rsidRPr="005662EC">
        <w:rPr>
          <w:rFonts w:eastAsia="Times New Roman"/>
        </w:rPr>
        <w:t xml:space="preserve">w dniu </w:t>
      </w:r>
      <w:r w:rsidR="00BA0A13" w:rsidRPr="00BA0A13">
        <w:rPr>
          <w:bCs/>
          <w:color w:val="000000" w:themeColor="text1"/>
          <w:szCs w:val="20"/>
        </w:rPr>
        <w:t>16.12.2015 r.</w:t>
      </w:r>
    </w:p>
    <w:p w:rsidR="005662EC" w:rsidRPr="005662EC" w:rsidRDefault="005662EC" w:rsidP="00623814"/>
    <w:p w:rsidR="00F3041A" w:rsidRPr="005662EC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5662EC">
        <w:rPr>
          <w:b/>
          <w:color w:val="000000"/>
        </w:rPr>
        <w:t xml:space="preserve"> Wspieranie aktywności studentów w ramach kół naukowych.</w:t>
      </w:r>
    </w:p>
    <w:p w:rsidR="006C4DE6" w:rsidRPr="00FF3136" w:rsidRDefault="006C4DE6" w:rsidP="00623814">
      <w:pPr>
        <w:autoSpaceDE w:val="0"/>
        <w:autoSpaceDN w:val="0"/>
        <w:adjustRightInd w:val="0"/>
        <w:rPr>
          <w:b/>
          <w:color w:val="000000"/>
        </w:rPr>
      </w:pPr>
    </w:p>
    <w:p w:rsidR="004A39EC" w:rsidRPr="006C4DE6" w:rsidRDefault="004A39EC" w:rsidP="004A39EC">
      <w:pPr>
        <w:autoSpaceDE w:val="0"/>
        <w:autoSpaceDN w:val="0"/>
        <w:adjustRightInd w:val="0"/>
        <w:rPr>
          <w:color w:val="000000"/>
        </w:rPr>
      </w:pPr>
      <w:r w:rsidRPr="006C4DE6">
        <w:rPr>
          <w:color w:val="000000"/>
        </w:rPr>
        <w:t xml:space="preserve">W roku akademickim  </w:t>
      </w:r>
      <w:r>
        <w:rPr>
          <w:color w:val="000000"/>
        </w:rPr>
        <w:t>2015/2016</w:t>
      </w:r>
      <w:r w:rsidRPr="006C4DE6">
        <w:rPr>
          <w:color w:val="000000"/>
        </w:rPr>
        <w:t xml:space="preserve"> na Wydziale funkcjonowały następujące studenckie Koła Naukowe:</w:t>
      </w:r>
    </w:p>
    <w:p w:rsidR="004A39EC" w:rsidRPr="0068702E" w:rsidRDefault="004A39EC" w:rsidP="004A39EC">
      <w:pPr>
        <w:numPr>
          <w:ilvl w:val="0"/>
          <w:numId w:val="7"/>
        </w:numPr>
        <w:rPr>
          <w:rFonts w:eastAsia="Times New Roman"/>
          <w:b/>
        </w:rPr>
      </w:pPr>
      <w:r w:rsidRPr="0068702E">
        <w:rPr>
          <w:rFonts w:eastAsia="Times New Roman"/>
          <w:b/>
          <w:bCs/>
        </w:rPr>
        <w:t>Strukturalne Koło Naukowe InStructA</w:t>
      </w:r>
    </w:p>
    <w:p w:rsidR="004A39EC" w:rsidRPr="0068702E" w:rsidRDefault="004A39EC" w:rsidP="004A39EC">
      <w:pPr>
        <w:numPr>
          <w:ilvl w:val="1"/>
          <w:numId w:val="7"/>
        </w:numPr>
        <w:rPr>
          <w:rFonts w:eastAsia="Times New Roman"/>
          <w:b/>
        </w:rPr>
      </w:pPr>
      <w:r w:rsidRPr="0068702E">
        <w:rPr>
          <w:rFonts w:eastAsia="Times New Roman"/>
          <w:b/>
        </w:rPr>
        <w:t>Opiekun naukowy: dr hab. inż. Romuald Tarczewski</w:t>
      </w:r>
    </w:p>
    <w:p w:rsidR="004A39EC" w:rsidRPr="006C4DE6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  <w:bCs/>
        </w:rPr>
        <w:t>Studenckie Koło Naukowe Ochrony Zabytków RESE.ARCH</w:t>
      </w:r>
      <w:r w:rsidRPr="006C4DE6">
        <w:rPr>
          <w:rFonts w:eastAsia="Times New Roman"/>
        </w:rPr>
        <w:t xml:space="preserve"> </w:t>
      </w:r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</w:rPr>
        <w:t>Opiekun naukowy: mgr inż. arch. Paweł Jaszczuk</w:t>
      </w:r>
    </w:p>
    <w:p w:rsidR="004A39EC" w:rsidRPr="006C4DE6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  <w:bCs/>
        </w:rPr>
        <w:t>Koło Naukowe Eko-Studio</w:t>
      </w:r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</w:rPr>
        <w:t xml:space="preserve">Opiekun naukowy: </w:t>
      </w:r>
      <w:hyperlink r:id="rId8" w:history="1">
        <w:r w:rsidRPr="006C4DE6">
          <w:rPr>
            <w:rFonts w:eastAsia="Times New Roman"/>
          </w:rPr>
          <w:t>dr inż. arch. Anna Bać</w:t>
        </w:r>
      </w:hyperlink>
      <w:r w:rsidRPr="006C4DE6">
        <w:rPr>
          <w:rFonts w:eastAsia="Times New Roman"/>
        </w:rPr>
        <w:t xml:space="preserve"> (tel. 71 320 64 48)</w:t>
      </w:r>
    </w:p>
    <w:p w:rsidR="004A39EC" w:rsidRPr="0068702E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  <w:bCs/>
        </w:rPr>
        <w:t>Studenckie Koło Naukowe Urbanistyki CARDO</w:t>
      </w:r>
    </w:p>
    <w:p w:rsidR="004A39EC" w:rsidRPr="0068702E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</w:rPr>
        <w:t>Opiekun naukowy: dr hab. inż. arch. Robert Masztalski</w:t>
      </w:r>
    </w:p>
    <w:p w:rsidR="004A39EC" w:rsidRPr="006C4DE6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  <w:bCs/>
        </w:rPr>
        <w:t>Grupa Działań Plastycznych Spotkania Nieformalne</w:t>
      </w:r>
      <w:r w:rsidRPr="006C4DE6">
        <w:rPr>
          <w:rFonts w:eastAsia="Times New Roman"/>
        </w:rPr>
        <w:t xml:space="preserve"> </w:t>
      </w:r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</w:rPr>
        <w:t>Opiekun naukowy: mgr art. plastyk Barbara Siomkajło</w:t>
      </w:r>
    </w:p>
    <w:p w:rsidR="004A39EC" w:rsidRPr="0068702E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  <w:bCs/>
        </w:rPr>
        <w:t>Studenckie Koło Naukowe Gospodarki Przestrzennej</w:t>
      </w:r>
    </w:p>
    <w:p w:rsidR="004A39EC" w:rsidRPr="0068702E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</w:rPr>
        <w:t>Opiekun naukowy: dr inż. Wawrzyniec Zipser</w:t>
      </w:r>
    </w:p>
    <w:p w:rsidR="004A39EC" w:rsidRPr="0068702E" w:rsidRDefault="0067297F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</w:rPr>
      </w:pPr>
      <w:hyperlink r:id="rId9" w:tgtFrame="_blank" w:history="1">
        <w:r w:rsidR="004A39EC" w:rsidRPr="0068702E">
          <w:rPr>
            <w:rFonts w:eastAsia="Times New Roman"/>
            <w:b/>
            <w:bCs/>
          </w:rPr>
          <w:t>Koło Naukowe Humanizacja Środowiska Miejskiego</w:t>
        </w:r>
      </w:hyperlink>
    </w:p>
    <w:p w:rsidR="004A39EC" w:rsidRPr="0068702E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</w:rPr>
        <w:t>Opiekun naukowy: prof. Zbigniew Bać</w:t>
      </w:r>
    </w:p>
    <w:p w:rsidR="004A39EC" w:rsidRPr="006C4DE6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  <w:bCs/>
        </w:rPr>
        <w:t>Koło Naukowe ARCHIPUNKTURA</w:t>
      </w:r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</w:rPr>
        <w:t>Opiekun naukowy: dr inż. arch. Agnieszka Gryglewska</w:t>
      </w:r>
    </w:p>
    <w:p w:rsidR="004A39EC" w:rsidRPr="006C4DE6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  <w:bCs/>
        </w:rPr>
        <w:t>Studenckie Koło Naukowe Ochrony Zabytków Techniki HP NADBÓR</w:t>
      </w:r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</w:rPr>
        <w:t>Opiekun naukowy: prof. Stanisław Januszewski</w:t>
      </w:r>
    </w:p>
    <w:p w:rsidR="004A39EC" w:rsidRPr="006C4DE6" w:rsidRDefault="0067297F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hyperlink r:id="rId10" w:tgtFrame="_blank" w:history="1">
        <w:r w:rsidR="004A39EC" w:rsidRPr="006C4DE6">
          <w:rPr>
            <w:rFonts w:eastAsia="Times New Roman"/>
            <w:bCs/>
          </w:rPr>
          <w:t>Koło Naukowe Psychologii i Sztuki EKSPRESJA</w:t>
        </w:r>
      </w:hyperlink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</w:rPr>
        <w:t>Opiekun naukowy: dr inż. Andrzej Chmiel</w:t>
      </w:r>
    </w:p>
    <w:p w:rsidR="004A39EC" w:rsidRPr="0068702E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  <w:bCs/>
        </w:rPr>
        <w:t xml:space="preserve">Koło Naukowe Historii Architektury </w:t>
      </w:r>
      <w:r w:rsidRPr="0068702E">
        <w:rPr>
          <w:rFonts w:eastAsia="Times New Roman"/>
          <w:b/>
          <w:bCs/>
          <w:iCs/>
        </w:rPr>
        <w:t>w kresce - ArcHist</w:t>
      </w:r>
    </w:p>
    <w:p w:rsidR="004A39EC" w:rsidRPr="0068702E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</w:rPr>
        <w:t>Opiekun: dr inż Agnieszka Gryglewska</w:t>
      </w:r>
    </w:p>
    <w:p w:rsidR="004A39EC" w:rsidRPr="0068702E" w:rsidRDefault="0067297F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</w:rPr>
      </w:pPr>
      <w:hyperlink r:id="rId11" w:tgtFrame="_blank" w:history="1">
        <w:r w:rsidR="004A39EC" w:rsidRPr="0068702E">
          <w:rPr>
            <w:rFonts w:eastAsia="Times New Roman"/>
            <w:b/>
            <w:bCs/>
          </w:rPr>
          <w:t>Yello Artystyczne Koło Naukowe</w:t>
        </w:r>
      </w:hyperlink>
    </w:p>
    <w:p w:rsidR="004A39EC" w:rsidRPr="0068702E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</w:rPr>
        <w:t>Opiekun: prof. Leszek Maluga</w:t>
      </w:r>
    </w:p>
    <w:p w:rsidR="004A39EC" w:rsidRPr="0068702E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  <w:bCs/>
          <w:lang w:val="en-US"/>
        </w:rPr>
        <w:t>KN LabDigiFab</w:t>
      </w:r>
    </w:p>
    <w:p w:rsidR="004A39EC" w:rsidRPr="0068702E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</w:rPr>
        <w:t>Opiekun: mgr inż. arch. Przemysław Jaworski</w:t>
      </w:r>
    </w:p>
    <w:p w:rsidR="004A39EC" w:rsidRPr="006C4DE6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  <w:bCs/>
        </w:rPr>
        <w:t>Koło Naukowe Konsa</w:t>
      </w:r>
      <w:r w:rsidRPr="006C4DE6">
        <w:rPr>
          <w:rFonts w:eastAsia="Times New Roman"/>
        </w:rPr>
        <w:t xml:space="preserve"> </w:t>
      </w:r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lang w:val="en-US"/>
        </w:rPr>
      </w:pPr>
      <w:r w:rsidRPr="006C4DE6">
        <w:rPr>
          <w:rFonts w:eastAsia="Times New Roman"/>
          <w:lang w:val="en-US"/>
        </w:rPr>
        <w:t>Opiekun: dr hab. inż. Waldemar Bober</w:t>
      </w:r>
    </w:p>
    <w:p w:rsidR="004A39EC" w:rsidRPr="006C4DE6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  <w:bCs/>
        </w:rPr>
        <w:t>Koło Naukowe Aktywizacji Architektury Mieszkaniowej</w:t>
      </w:r>
      <w:r w:rsidRPr="006C4DE6">
        <w:rPr>
          <w:rFonts w:eastAsia="Times New Roman"/>
        </w:rPr>
        <w:br/>
        <w:t>kn.aam.pwr@gmail.com</w:t>
      </w:r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</w:rPr>
        <w:t>Opiekun: dr hab. inż arch. Barbara Gronostajska, prof. nadzw.</w:t>
      </w:r>
    </w:p>
    <w:p w:rsidR="004A39EC" w:rsidRPr="006C4DE6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  <w:bCs/>
        </w:rPr>
        <w:t>Koło Naukowe Architektury Tradycyjnej i Współczesnej</w:t>
      </w:r>
      <w:r w:rsidRPr="006C4DE6">
        <w:rPr>
          <w:rFonts w:eastAsia="Times New Roman"/>
        </w:rPr>
        <w:t xml:space="preserve"> </w:t>
      </w:r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</w:rPr>
        <w:t>Opiekun: dr hab. inż arch. Elżbieta Przesmycka</w:t>
      </w:r>
    </w:p>
    <w:p w:rsidR="004A39EC" w:rsidRPr="0068702E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  <w:bCs/>
        </w:rPr>
        <w:t>Koło Naukowe Pop Arch</w:t>
      </w:r>
      <w:r w:rsidRPr="0068702E">
        <w:rPr>
          <w:rFonts w:eastAsia="Times New Roman"/>
          <w:b/>
        </w:rPr>
        <w:t xml:space="preserve"> </w:t>
      </w:r>
    </w:p>
    <w:p w:rsidR="004A39EC" w:rsidRPr="0068702E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</w:rPr>
        <w:t>Opiekun: Prof. dr hab. inż arch. Elżbieta Trocka-Leszczyńska</w:t>
      </w:r>
    </w:p>
    <w:p w:rsidR="004A39EC" w:rsidRPr="006C4DE6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C4DE6">
        <w:rPr>
          <w:rFonts w:eastAsia="Times New Roman"/>
          <w:bCs/>
        </w:rPr>
        <w:t xml:space="preserve">Koło Naukowe SUS_A </w:t>
      </w:r>
    </w:p>
    <w:p w:rsidR="004A39EC" w:rsidRPr="006C4DE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lang w:val="en-US"/>
        </w:rPr>
      </w:pPr>
      <w:r w:rsidRPr="006C4DE6">
        <w:rPr>
          <w:rFonts w:eastAsia="Times New Roman"/>
          <w:lang w:val="en-US"/>
        </w:rPr>
        <w:t>Opiekun: dr inż arch. Alina Drapella Hermansdorfer</w:t>
      </w:r>
    </w:p>
    <w:p w:rsidR="004A39EC" w:rsidRPr="0068702E" w:rsidRDefault="004A39EC" w:rsidP="004A39E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  <w:bCs/>
        </w:rPr>
        <w:t>Koło Naukowe Warsztat</w:t>
      </w:r>
      <w:r w:rsidRPr="0068702E">
        <w:rPr>
          <w:rFonts w:eastAsia="Times New Roman"/>
          <w:b/>
        </w:rPr>
        <w:t xml:space="preserve"> </w:t>
      </w:r>
    </w:p>
    <w:p w:rsidR="004A39EC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b/>
        </w:rPr>
      </w:pPr>
      <w:r w:rsidRPr="0068702E">
        <w:rPr>
          <w:rFonts w:eastAsia="Times New Roman"/>
          <w:b/>
        </w:rPr>
        <w:t>Opiekun: dr inż Łukasz Wojciechowski</w:t>
      </w:r>
    </w:p>
    <w:p w:rsidR="004A39EC" w:rsidRPr="00FE78D6" w:rsidRDefault="004A39EC" w:rsidP="004A39EC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b/>
        </w:rPr>
      </w:pPr>
    </w:p>
    <w:p w:rsidR="004A39EC" w:rsidRDefault="004A39EC" w:rsidP="004A39EC">
      <w:pPr>
        <w:pStyle w:val="Akapitzlist"/>
        <w:numPr>
          <w:ilvl w:val="0"/>
          <w:numId w:val="7"/>
        </w:numPr>
        <w:rPr>
          <w:b/>
        </w:rPr>
      </w:pPr>
      <w:r w:rsidRPr="00FE78D6">
        <w:rPr>
          <w:b/>
        </w:rPr>
        <w:t>Koło Naukowe INDUSTRIA- KN Ochrony Dziedzictwa Przemysłowego</w:t>
      </w:r>
    </w:p>
    <w:p w:rsidR="004A39EC" w:rsidRPr="0091641B" w:rsidRDefault="004A39EC" w:rsidP="004A39EC">
      <w:pPr>
        <w:rPr>
          <w:b/>
        </w:rPr>
      </w:pPr>
      <w:r>
        <w:rPr>
          <w:b/>
        </w:rPr>
        <w:t xml:space="preserve">                  ᵒ    Opiekun: dr inż. arch. Piotr Gerber</w:t>
      </w:r>
    </w:p>
    <w:p w:rsidR="00C52BE0" w:rsidRDefault="006C4DE6" w:rsidP="00C52B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Wszystkie działania studentów miały </w:t>
      </w:r>
      <w:r w:rsidR="00F3041A">
        <w:rPr>
          <w:color w:val="000000"/>
        </w:rPr>
        <w:t xml:space="preserve"> istotne wsparcie ze strony pracowników Wydziału, głównie</w:t>
      </w:r>
      <w:r w:rsidR="00C52BE0">
        <w:rPr>
          <w:color w:val="000000"/>
        </w:rPr>
        <w:t xml:space="preserve"> </w:t>
      </w:r>
      <w:r w:rsidR="00F3041A">
        <w:rPr>
          <w:color w:val="000000"/>
        </w:rPr>
        <w:t>opiekunów kół; większość działań m</w:t>
      </w:r>
      <w:r>
        <w:rPr>
          <w:color w:val="000000"/>
        </w:rPr>
        <w:t>i</w:t>
      </w:r>
      <w:r w:rsidR="00F3041A">
        <w:rPr>
          <w:color w:val="000000"/>
        </w:rPr>
        <w:t>a</w:t>
      </w:r>
      <w:r>
        <w:rPr>
          <w:color w:val="000000"/>
        </w:rPr>
        <w:t xml:space="preserve">ło </w:t>
      </w:r>
      <w:r w:rsidR="00F3041A">
        <w:rPr>
          <w:color w:val="000000"/>
        </w:rPr>
        <w:t xml:space="preserve"> bezpośrednie wsparcie Dziekana Wydziału –</w:t>
      </w:r>
      <w:r w:rsidR="00C52BE0">
        <w:rPr>
          <w:color w:val="000000"/>
        </w:rPr>
        <w:t xml:space="preserve"> </w:t>
      </w:r>
      <w:r w:rsidR="00F3041A">
        <w:rPr>
          <w:color w:val="000000"/>
        </w:rPr>
        <w:t>również finansowe.</w:t>
      </w:r>
      <w:r>
        <w:rPr>
          <w:color w:val="000000"/>
        </w:rPr>
        <w:t xml:space="preserve"> </w:t>
      </w:r>
    </w:p>
    <w:p w:rsidR="00C52BE0" w:rsidRDefault="00C52BE0" w:rsidP="00C52BE0">
      <w:pPr>
        <w:autoSpaceDE w:val="0"/>
        <w:autoSpaceDN w:val="0"/>
        <w:adjustRightInd w:val="0"/>
        <w:rPr>
          <w:color w:val="000000"/>
        </w:rPr>
      </w:pPr>
    </w:p>
    <w:p w:rsidR="00F3041A" w:rsidRPr="00C52BE0" w:rsidRDefault="00F3041A" w:rsidP="00C52BE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C52BE0">
        <w:rPr>
          <w:b/>
          <w:color w:val="000000"/>
        </w:rPr>
        <w:t>Monitorowanie aktywności</w:t>
      </w:r>
      <w:r w:rsidR="003C17D2" w:rsidRPr="00C52BE0">
        <w:rPr>
          <w:b/>
          <w:color w:val="000000"/>
        </w:rPr>
        <w:t xml:space="preserve"> dydaktycznej</w:t>
      </w:r>
      <w:r w:rsidRPr="00C52BE0">
        <w:rPr>
          <w:b/>
          <w:color w:val="000000"/>
        </w:rPr>
        <w:t xml:space="preserve"> doktorantów.</w:t>
      </w:r>
    </w:p>
    <w:p w:rsidR="001A53F7" w:rsidRPr="001A53F7" w:rsidRDefault="001A53F7" w:rsidP="001A53F7">
      <w:pPr>
        <w:pStyle w:val="Akapitzlist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Kryteria </w:t>
      </w:r>
      <w:r w:rsidRPr="001A53F7">
        <w:rPr>
          <w:b/>
          <w:color w:val="000000"/>
        </w:rPr>
        <w:t xml:space="preserve"> prow</w:t>
      </w:r>
      <w:r>
        <w:rPr>
          <w:b/>
          <w:color w:val="000000"/>
        </w:rPr>
        <w:t>adzenia zajęć przez doktorantów w roku 2015/2016.</w:t>
      </w:r>
    </w:p>
    <w:p w:rsidR="003C17D2" w:rsidRPr="00522A43" w:rsidRDefault="00522A43" w:rsidP="00623814">
      <w:pPr>
        <w:pStyle w:val="Akapitzlist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Wydziałowa Komisja</w:t>
      </w:r>
      <w:r w:rsidR="003C17D2" w:rsidRPr="00F66942">
        <w:rPr>
          <w:color w:val="000000"/>
        </w:rPr>
        <w:t xml:space="preserve"> ds. Oceny i Zapewniania Jakości Kształceni </w:t>
      </w:r>
      <w:r w:rsidR="00C52BE0">
        <w:rPr>
          <w:color w:val="000000"/>
        </w:rPr>
        <w:t xml:space="preserve">podtrzymała </w:t>
      </w:r>
      <w:r w:rsidR="003C17D2" w:rsidRPr="00F66942">
        <w:rPr>
          <w:color w:val="000000"/>
        </w:rPr>
        <w:t xml:space="preserve"> i przedstawiła do akceptacji </w:t>
      </w:r>
      <w:r w:rsidR="00521BF3">
        <w:rPr>
          <w:color w:val="000000"/>
        </w:rPr>
        <w:t xml:space="preserve">Rady Wydziału </w:t>
      </w:r>
      <w:r w:rsidR="003C17D2" w:rsidRPr="00F66942">
        <w:rPr>
          <w:color w:val="000000"/>
        </w:rPr>
        <w:t xml:space="preserve">wymagania stawiane doktorantom prowadzącym samodzielnie zajęcia na kierunku Architektura. </w:t>
      </w:r>
      <w:r>
        <w:rPr>
          <w:color w:val="000000"/>
        </w:rPr>
        <w:t xml:space="preserve"> </w:t>
      </w:r>
      <w:r w:rsidR="00521BF3">
        <w:rPr>
          <w:rFonts w:eastAsia="Times New Roman"/>
          <w:bCs/>
        </w:rPr>
        <w:t xml:space="preserve">Rada Wydziału </w:t>
      </w:r>
      <w:r w:rsidR="00C52BE0">
        <w:rPr>
          <w:rFonts w:eastAsia="Times New Roman"/>
          <w:bCs/>
        </w:rPr>
        <w:t xml:space="preserve">poparła propozycje Komisji i uchwaliła </w:t>
      </w:r>
      <w:r w:rsidR="003C17D2" w:rsidRPr="00F66942">
        <w:rPr>
          <w:rFonts w:eastAsia="Times New Roman"/>
          <w:bCs/>
        </w:rPr>
        <w:t>następujące wymagania  dla  doktorantów  prowadzących samodzielnie zajęcia   :</w:t>
      </w:r>
    </w:p>
    <w:p w:rsidR="003C17D2" w:rsidRPr="005C34E2" w:rsidRDefault="00F66942" w:rsidP="00623814">
      <w:pPr>
        <w:rPr>
          <w:rFonts w:eastAsia="Times New Roman"/>
        </w:rPr>
      </w:pPr>
      <w:r w:rsidRPr="00F66942">
        <w:rPr>
          <w:rFonts w:eastAsia="Times New Roman"/>
          <w:bCs/>
        </w:rPr>
        <w:t>1.</w:t>
      </w:r>
      <w:r w:rsidRPr="00F66942">
        <w:rPr>
          <w:rFonts w:eastAsia="Times New Roman"/>
          <w:bCs/>
        </w:rPr>
        <w:tab/>
      </w:r>
      <w:r w:rsidR="003C17D2" w:rsidRPr="00F66942">
        <w:rPr>
          <w:rFonts w:eastAsia="Times New Roman"/>
          <w:bCs/>
        </w:rPr>
        <w:t> </w:t>
      </w:r>
      <w:r w:rsidRPr="00F66942">
        <w:rPr>
          <w:rFonts w:eastAsia="Times New Roman"/>
          <w:bCs/>
        </w:rPr>
        <w:t xml:space="preserve">W zakresie kursów z </w:t>
      </w:r>
      <w:r w:rsidR="003C17D2" w:rsidRPr="00F66942">
        <w:rPr>
          <w:rFonts w:eastAsia="Times New Roman"/>
          <w:bCs/>
        </w:rPr>
        <w:t xml:space="preserve"> projektowania i laboratoriów : </w:t>
      </w:r>
    </w:p>
    <w:p w:rsidR="003C17D2" w:rsidRPr="005C34E2" w:rsidRDefault="003C17D2" w:rsidP="00623814">
      <w:pPr>
        <w:rPr>
          <w:rFonts w:eastAsia="Times New Roman"/>
        </w:rPr>
      </w:pPr>
      <w:r w:rsidRPr="00F66942">
        <w:rPr>
          <w:rFonts w:eastAsia="Times New Roman"/>
          <w:bCs/>
        </w:rPr>
        <w:t xml:space="preserve">- </w:t>
      </w:r>
      <w:r w:rsidR="00F66942" w:rsidRPr="00F66942">
        <w:rPr>
          <w:rFonts w:eastAsia="Times New Roman"/>
          <w:bCs/>
        </w:rPr>
        <w:t xml:space="preserve">ukończony </w:t>
      </w:r>
      <w:r w:rsidRPr="00F66942">
        <w:rPr>
          <w:rFonts w:eastAsia="Times New Roman"/>
          <w:bCs/>
        </w:rPr>
        <w:t xml:space="preserve"> I roku studiów doktoranckich </w:t>
      </w:r>
      <w:r w:rsidR="00F66942" w:rsidRPr="00F66942">
        <w:rPr>
          <w:rFonts w:eastAsia="Times New Roman"/>
          <w:bCs/>
        </w:rPr>
        <w:t xml:space="preserve">i </w:t>
      </w:r>
      <w:r w:rsidRPr="00F66942">
        <w:rPr>
          <w:rFonts w:eastAsia="Times New Roman"/>
          <w:bCs/>
        </w:rPr>
        <w:t>doświadczenie jako asystent w prowadzeniu zajęć</w:t>
      </w:r>
      <w:r w:rsidR="00F66942" w:rsidRPr="00F66942">
        <w:rPr>
          <w:rFonts w:eastAsia="Times New Roman"/>
          <w:bCs/>
        </w:rPr>
        <w:t xml:space="preserve"> minimum 90 godzin  </w:t>
      </w:r>
    </w:p>
    <w:p w:rsidR="003C17D2" w:rsidRPr="005C34E2" w:rsidRDefault="00F66942" w:rsidP="00623814">
      <w:pPr>
        <w:rPr>
          <w:rFonts w:eastAsia="Times New Roman"/>
        </w:rPr>
      </w:pPr>
      <w:r w:rsidRPr="00F66942">
        <w:rPr>
          <w:rFonts w:eastAsia="Times New Roman"/>
          <w:bCs/>
        </w:rPr>
        <w:t>2.</w:t>
      </w:r>
      <w:r w:rsidRPr="00F66942">
        <w:rPr>
          <w:rFonts w:eastAsia="Times New Roman"/>
          <w:bCs/>
        </w:rPr>
        <w:tab/>
      </w:r>
      <w:r w:rsidR="003C17D2" w:rsidRPr="00F66942">
        <w:rPr>
          <w:rFonts w:eastAsia="Times New Roman"/>
          <w:bCs/>
        </w:rPr>
        <w:t xml:space="preserve"> </w:t>
      </w:r>
      <w:r w:rsidRPr="00F66942">
        <w:rPr>
          <w:rFonts w:eastAsia="Times New Roman"/>
          <w:bCs/>
        </w:rPr>
        <w:t xml:space="preserve">W zakresie prowadzenia kursów </w:t>
      </w:r>
      <w:r w:rsidR="003C17D2" w:rsidRPr="00F66942">
        <w:rPr>
          <w:rFonts w:eastAsia="Times New Roman"/>
          <w:bCs/>
        </w:rPr>
        <w:t xml:space="preserve"> z projektowania architektonicznego: </w:t>
      </w:r>
    </w:p>
    <w:p w:rsidR="003C17D2" w:rsidRPr="005C34E2" w:rsidRDefault="003C17D2" w:rsidP="00623814">
      <w:pPr>
        <w:rPr>
          <w:rFonts w:eastAsia="Times New Roman"/>
        </w:rPr>
      </w:pPr>
      <w:r w:rsidRPr="00F66942">
        <w:rPr>
          <w:rFonts w:eastAsia="Times New Roman"/>
          <w:bCs/>
        </w:rPr>
        <w:t>- Minimum 1 roczna  praktyka w biurze projektów/na budowie  ( zajęcia z projektowania na I stopniu ) </w:t>
      </w:r>
    </w:p>
    <w:p w:rsidR="003C17D2" w:rsidRPr="005C34E2" w:rsidRDefault="003C17D2" w:rsidP="00623814">
      <w:pPr>
        <w:rPr>
          <w:rFonts w:eastAsia="Times New Roman"/>
        </w:rPr>
      </w:pPr>
      <w:r w:rsidRPr="00F66942">
        <w:rPr>
          <w:rFonts w:eastAsia="Times New Roman"/>
          <w:bCs/>
        </w:rPr>
        <w:t>- Uprawnienia budowlane bez ograniczeń ( zajęcia z projektowania na II stopniu)</w:t>
      </w:r>
    </w:p>
    <w:p w:rsidR="003C17D2" w:rsidRPr="005C34E2" w:rsidRDefault="003C17D2" w:rsidP="00623814">
      <w:pPr>
        <w:rPr>
          <w:rFonts w:eastAsia="Times New Roman"/>
        </w:rPr>
      </w:pPr>
      <w:r w:rsidRPr="00F66942">
        <w:rPr>
          <w:rFonts w:eastAsia="Times New Roman"/>
          <w:bCs/>
        </w:rPr>
        <w:t>- Pozytywna weryfikacja/rekomendacja  Promotora pracy doktorskiej</w:t>
      </w:r>
    </w:p>
    <w:p w:rsidR="003C17D2" w:rsidRPr="005C34E2" w:rsidRDefault="003C17D2" w:rsidP="00623814">
      <w:pPr>
        <w:rPr>
          <w:rFonts w:eastAsia="Times New Roman"/>
        </w:rPr>
      </w:pPr>
      <w:r w:rsidRPr="00F66942">
        <w:rPr>
          <w:rFonts w:eastAsia="Times New Roman"/>
          <w:bCs/>
        </w:rPr>
        <w:t>3/</w:t>
      </w:r>
      <w:r w:rsidR="00F66942" w:rsidRPr="00F66942">
        <w:rPr>
          <w:rFonts w:eastAsia="Times New Roman"/>
          <w:bCs/>
        </w:rPr>
        <w:t>.</w:t>
      </w:r>
      <w:r w:rsidR="00F66942" w:rsidRPr="00F66942">
        <w:rPr>
          <w:rFonts w:eastAsia="Times New Roman"/>
          <w:bCs/>
        </w:rPr>
        <w:tab/>
        <w:t xml:space="preserve">W zakresie </w:t>
      </w:r>
      <w:r w:rsidRPr="00F66942">
        <w:rPr>
          <w:rFonts w:eastAsia="Times New Roman"/>
          <w:bCs/>
        </w:rPr>
        <w:t xml:space="preserve"> zajęć typu laboratorium : </w:t>
      </w:r>
    </w:p>
    <w:p w:rsidR="003C17D2" w:rsidRDefault="003C17D2" w:rsidP="00623814">
      <w:pPr>
        <w:rPr>
          <w:rFonts w:eastAsia="Times New Roman"/>
          <w:bCs/>
        </w:rPr>
      </w:pPr>
      <w:r w:rsidRPr="00F66942">
        <w:rPr>
          <w:rFonts w:eastAsia="Times New Roman"/>
          <w:bCs/>
        </w:rPr>
        <w:t>- Pozytywna weryfikacja/rekomendacja  Promotora pracy doktorskiej</w:t>
      </w:r>
    </w:p>
    <w:p w:rsidR="001A53F7" w:rsidRPr="00A901ED" w:rsidRDefault="001A53F7" w:rsidP="00623814">
      <w:pPr>
        <w:rPr>
          <w:rFonts w:eastAsia="Times New Roman"/>
          <w:b/>
          <w:bCs/>
        </w:rPr>
      </w:pPr>
    </w:p>
    <w:p w:rsidR="001A53F7" w:rsidRPr="00A901ED" w:rsidRDefault="001A53F7" w:rsidP="00623814">
      <w:pPr>
        <w:rPr>
          <w:rFonts w:eastAsia="Times New Roman"/>
          <w:b/>
          <w:bCs/>
        </w:rPr>
      </w:pPr>
      <w:r w:rsidRPr="00A901ED">
        <w:rPr>
          <w:rFonts w:eastAsia="Times New Roman"/>
          <w:b/>
          <w:bCs/>
        </w:rPr>
        <w:t>Liczba hospitacji i ich wyniki za rok 2015/2016.</w:t>
      </w:r>
    </w:p>
    <w:p w:rsidR="00A901ED" w:rsidRPr="00A901ED" w:rsidRDefault="00A901ED" w:rsidP="00A901ED"/>
    <w:p w:rsidR="00A901ED" w:rsidRPr="00A901ED" w:rsidRDefault="00A901ED" w:rsidP="00A901ED">
      <w:r w:rsidRPr="00A901ED">
        <w:t xml:space="preserve">Wydziałowa Komisja ds. Oceny i Zapewnienia Jakości Kształcenia w roku akademickim 2015/2016 opracowała ramowy harmonogram przeprowadzenia hospitacji zajęć dla 78 kursów. Wyniki hospitacji: </w:t>
      </w:r>
    </w:p>
    <w:p w:rsidR="00A901ED" w:rsidRPr="00A901ED" w:rsidRDefault="00A901ED" w:rsidP="00A901ED">
      <w:r w:rsidRPr="00A901ED">
        <w:t>-</w:t>
      </w:r>
      <w:r w:rsidRPr="00A901ED">
        <w:tab/>
        <w:t>80% hospitowanych uzyskało ocenę wyróżniającą</w:t>
      </w:r>
    </w:p>
    <w:p w:rsidR="00A901ED" w:rsidRPr="00A901ED" w:rsidRDefault="00A901ED" w:rsidP="00A901ED">
      <w:r w:rsidRPr="00A901ED">
        <w:t>-</w:t>
      </w:r>
      <w:r w:rsidRPr="00A901ED">
        <w:tab/>
        <w:t>5% hospitowanych uzyskało ocenę dobrą</w:t>
      </w:r>
    </w:p>
    <w:p w:rsidR="00A901ED" w:rsidRPr="00A901ED" w:rsidRDefault="00A901ED" w:rsidP="00A901ED">
      <w:r w:rsidRPr="00A901ED">
        <w:t>-</w:t>
      </w:r>
      <w:r w:rsidRPr="00A901ED">
        <w:tab/>
        <w:t>4 % zajęć nie odbyło się w czasie przeprowadzania hospitacji.</w:t>
      </w:r>
    </w:p>
    <w:p w:rsidR="00A901ED" w:rsidRPr="00A901ED" w:rsidRDefault="00A901ED" w:rsidP="00A901ED">
      <w:r w:rsidRPr="00A901ED">
        <w:t>Ponadto przeszło 10 % hospitacji nie zostało przeprowadzonych. W związku z powyższym w przyszłym roku akademickim Komisja podda ponownej hospitacji osoby, w stosunku co do których hospitacja nie została przeprowadzona.</w:t>
      </w:r>
    </w:p>
    <w:p w:rsidR="001A53F7" w:rsidRDefault="001A53F7" w:rsidP="00623814">
      <w:pPr>
        <w:rPr>
          <w:rFonts w:eastAsia="Times New Roman"/>
          <w:b/>
          <w:bCs/>
        </w:rPr>
      </w:pPr>
    </w:p>
    <w:p w:rsidR="001A53F7" w:rsidRDefault="001A53F7" w:rsidP="00623814">
      <w:pPr>
        <w:rPr>
          <w:rFonts w:eastAsia="Times New Roman"/>
          <w:b/>
          <w:bCs/>
        </w:rPr>
      </w:pPr>
      <w:r w:rsidRPr="001A53F7">
        <w:rPr>
          <w:rFonts w:eastAsia="Times New Roman"/>
          <w:b/>
          <w:bCs/>
        </w:rPr>
        <w:t>Wnioski.</w:t>
      </w:r>
    </w:p>
    <w:p w:rsidR="001A53F7" w:rsidRDefault="001A53F7" w:rsidP="00623814">
      <w:pPr>
        <w:rPr>
          <w:rFonts w:eastAsia="Times New Roman"/>
          <w:b/>
          <w:bCs/>
        </w:rPr>
      </w:pPr>
    </w:p>
    <w:p w:rsidR="001A53F7" w:rsidRPr="001A53F7" w:rsidRDefault="001A53F7" w:rsidP="00623814">
      <w:pPr>
        <w:rPr>
          <w:color w:val="000000"/>
        </w:rPr>
      </w:pPr>
      <w:r>
        <w:rPr>
          <w:rFonts w:eastAsia="Times New Roman"/>
          <w:bCs/>
        </w:rPr>
        <w:t xml:space="preserve">Przeprowadzone hospitacje świadczą o </w:t>
      </w:r>
      <w:r w:rsidR="00A901ED">
        <w:rPr>
          <w:rFonts w:eastAsia="Times New Roman"/>
          <w:bCs/>
        </w:rPr>
        <w:t>wysokim poziomie prowadzonych zajęć dydaktycznych.</w:t>
      </w:r>
    </w:p>
    <w:p w:rsidR="003C17D2" w:rsidRDefault="003C17D2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5662EC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5662EC">
        <w:rPr>
          <w:b/>
          <w:color w:val="000000"/>
        </w:rPr>
        <w:t xml:space="preserve"> Monitorowanie międzynarodowej wymiany studenckiej.</w:t>
      </w:r>
    </w:p>
    <w:p w:rsidR="00375B90" w:rsidRDefault="000517F5" w:rsidP="00375B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F3041A">
        <w:rPr>
          <w:color w:val="000000"/>
        </w:rPr>
        <w:t>Sprawami związanymi z wymianą studencką w ramach</w:t>
      </w:r>
      <w:r w:rsidR="002E7984">
        <w:rPr>
          <w:color w:val="000000"/>
        </w:rPr>
        <w:t xml:space="preserve"> </w:t>
      </w:r>
      <w:r w:rsidR="00F3041A">
        <w:rPr>
          <w:color w:val="000000"/>
        </w:rPr>
        <w:t>programu Erasmus</w:t>
      </w:r>
      <w:r w:rsidR="00403943">
        <w:rPr>
          <w:color w:val="000000"/>
        </w:rPr>
        <w:t xml:space="preserve">+ </w:t>
      </w:r>
      <w:r w:rsidR="00F3041A">
        <w:rPr>
          <w:color w:val="000000"/>
        </w:rPr>
        <w:t xml:space="preserve"> zajmuje się pełnomocnik dziekana dr inż. </w:t>
      </w:r>
      <w:r w:rsidR="00BD5733">
        <w:rPr>
          <w:color w:val="000000"/>
        </w:rPr>
        <w:t xml:space="preserve">Maciej Hawrylak </w:t>
      </w:r>
      <w:r w:rsidR="00F3041A">
        <w:rPr>
          <w:color w:val="000000"/>
        </w:rPr>
        <w:t>.</w:t>
      </w:r>
      <w:r w:rsidR="00BD5733" w:rsidRPr="00BD5733">
        <w:rPr>
          <w:color w:val="000000"/>
        </w:rPr>
        <w:t xml:space="preserve"> </w:t>
      </w:r>
      <w:r w:rsidR="00375B90">
        <w:rPr>
          <w:color w:val="000000"/>
        </w:rPr>
        <w:t xml:space="preserve">W semestrze zimowym i letnim 2015/2016 na Wydziale przebywało </w:t>
      </w:r>
      <w:r w:rsidR="00375B90" w:rsidRPr="003F14DC">
        <w:rPr>
          <w:b/>
          <w:color w:val="000000"/>
        </w:rPr>
        <w:t>62</w:t>
      </w:r>
      <w:r w:rsidR="00375B90">
        <w:rPr>
          <w:color w:val="000000"/>
        </w:rPr>
        <w:t xml:space="preserve"> studentów  zagranicznych.</w:t>
      </w:r>
    </w:p>
    <w:p w:rsidR="00375B90" w:rsidRDefault="00375B90" w:rsidP="00375B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Za granicą na stypendium Erasmus+ wyjechało </w:t>
      </w:r>
      <w:r w:rsidRPr="00503ADC">
        <w:rPr>
          <w:b/>
          <w:color w:val="000000"/>
        </w:rPr>
        <w:t>67</w:t>
      </w:r>
      <w:r>
        <w:rPr>
          <w:color w:val="000000"/>
        </w:rPr>
        <w:t xml:space="preserve"> studentów Wydziału Architektury. Wydział posiada podpisane umowy o współpracy dot. wymiany z 33 zagranicznymi szkołami wyższymi.</w:t>
      </w:r>
    </w:p>
    <w:p w:rsidR="00D63C7B" w:rsidRPr="00D63C7B" w:rsidRDefault="00375B90" w:rsidP="00D63C7B">
      <w:r w:rsidRPr="00403943">
        <w:t>Zagraniczne praktyki studenckie</w:t>
      </w:r>
      <w:r>
        <w:t xml:space="preserve"> w ramach Erasmus + odbyło </w:t>
      </w:r>
      <w:r w:rsidRPr="00846CE1">
        <w:rPr>
          <w:b/>
        </w:rPr>
        <w:t>8</w:t>
      </w:r>
      <w:r>
        <w:t xml:space="preserve"> studentów i </w:t>
      </w:r>
      <w:r w:rsidRPr="007A715B">
        <w:rPr>
          <w:b/>
        </w:rPr>
        <w:t>23</w:t>
      </w:r>
      <w:r>
        <w:t xml:space="preserve"> absolwentów WA.</w:t>
      </w:r>
    </w:p>
    <w:p w:rsidR="00D63C7B" w:rsidRDefault="00D63C7B" w:rsidP="00D63C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 okresie od 2016-06-14 do 2016-07-21 na Wydziale przebywało 24 studentów z Parul Group of Institutes (Gujarat Technological University, Indie) w ramach zorganizowanej w Politechnice Wrocławskiej Indian Summer School. Rada Wydziału uchwałą z dnia 405/45/2012-2016 wyraziła zgodę na realizację ww. szkoły letniej. Studenci z Indii uczestniczyli w zajęciach dydaktycznych i warsztatach , przygotowanych dla nich                             i prowadzonych przez pracowników Wydziału. Studenci otrzymali certyfikaty ukończenia </w:t>
      </w:r>
      <w:r>
        <w:rPr>
          <w:color w:val="000000"/>
        </w:rPr>
        <w:lastRenderedPageBreak/>
        <w:t>szkoły, dokumenty potwierdzające uzyskane oceny, przeprowadzono także analizę osiągniętych przez nich efektów kształcenia .</w:t>
      </w:r>
    </w:p>
    <w:p w:rsidR="00D63C7B" w:rsidRDefault="00D63C7B" w:rsidP="00D63C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Podobne parametry miała szkoła w 2015 jednak termin trwania miał miejsce od 23-06-2015 do 30-07-2015 a liczba studentów wyniosła ok 12 osób</w:t>
      </w:r>
    </w:p>
    <w:p w:rsidR="007C254F" w:rsidRDefault="007C254F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403943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403943">
        <w:rPr>
          <w:b/>
          <w:color w:val="000000"/>
        </w:rPr>
        <w:t xml:space="preserve"> Nadzór nad publicznym dostępem do informacji o kształceniu na Wydziale.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 stronie internetowej Wydziału (</w:t>
      </w:r>
      <w:r>
        <w:rPr>
          <w:color w:val="0000FF"/>
        </w:rPr>
        <w:t>http://www.</w:t>
      </w:r>
      <w:r w:rsidR="00354679">
        <w:rPr>
          <w:color w:val="0000FF"/>
        </w:rPr>
        <w:t>arch.pwr.wroc.pl</w:t>
      </w:r>
      <w:r>
        <w:rPr>
          <w:color w:val="000000"/>
        </w:rPr>
        <w:t>) są zamieszczane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na bieżąco aktualizowane wszystkie najważniejsze</w:t>
      </w:r>
      <w:r w:rsidR="00252563">
        <w:rPr>
          <w:color w:val="000000"/>
        </w:rPr>
        <w:t xml:space="preserve"> informacje z zakresu kształcenia, między innymi </w:t>
      </w:r>
      <w:r>
        <w:rPr>
          <w:color w:val="000000"/>
        </w:rPr>
        <w:t>: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1) Informacje dotyczące Wydziału, w tym funkcjonowania Dziekanatu 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2) Informacje dla studentów, dotyczące procedur i terminów postępowania w sprawach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związanych z tokiem studiów.</w:t>
      </w:r>
    </w:p>
    <w:p w:rsidR="00F3041A" w:rsidRDefault="0025256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F3041A">
        <w:rPr>
          <w:color w:val="000000"/>
        </w:rPr>
        <w:t>) Informacje nt. działalności kół naukowych, wraz z linkami.</w:t>
      </w:r>
    </w:p>
    <w:p w:rsidR="00F3041A" w:rsidRDefault="0025256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F3041A">
        <w:rPr>
          <w:color w:val="000000"/>
        </w:rPr>
        <w:t>) Obowiązujące programy kształcenia, plany studiów i semestralne rozkłady zajęć.</w:t>
      </w:r>
    </w:p>
    <w:p w:rsidR="00F3041A" w:rsidRDefault="0025256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F3041A">
        <w:rPr>
          <w:color w:val="000000"/>
        </w:rPr>
        <w:t>) Informacje o działaniach Konwentu Wydziału.</w:t>
      </w:r>
    </w:p>
    <w:p w:rsidR="00F3041A" w:rsidRDefault="0025256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F3041A">
        <w:rPr>
          <w:color w:val="000000"/>
        </w:rPr>
        <w:t>) Inne informacje przeznaczone dla kandydatów, studentów, doktorantów oraz absolwentów</w:t>
      </w:r>
    </w:p>
    <w:p w:rsidR="00252563" w:rsidRDefault="00252563" w:rsidP="00623814">
      <w:pPr>
        <w:autoSpaceDE w:val="0"/>
        <w:autoSpaceDN w:val="0"/>
        <w:adjustRightInd w:val="0"/>
        <w:rPr>
          <w:color w:val="000000"/>
        </w:rPr>
      </w:pPr>
    </w:p>
    <w:p w:rsidR="003C4503" w:rsidRPr="007C2A04" w:rsidRDefault="003C4503" w:rsidP="003C450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 w:rsidRPr="007C2A04">
        <w:rPr>
          <w:b/>
        </w:rPr>
        <w:t>Konwent.</w:t>
      </w:r>
    </w:p>
    <w:p w:rsidR="003C4503" w:rsidRDefault="003C4503" w:rsidP="003C45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Konwent Wydziału Architektury (</w:t>
      </w:r>
      <w:r w:rsidRPr="0057051F">
        <w:rPr>
          <w:color w:val="0000FF"/>
        </w:rPr>
        <w:t>http://www.wa.pwr.wroc.pl/2043191.xml?vm=2&amp;sid=21</w:t>
      </w:r>
      <w:r>
        <w:rPr>
          <w:color w:val="000000"/>
        </w:rPr>
        <w:t>) został powołany na kadencję 2012-2016.</w:t>
      </w:r>
    </w:p>
    <w:p w:rsidR="003C4503" w:rsidRDefault="003C4503" w:rsidP="003C45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Konwent funkcjonuje zgodnie z regulaminem, uchwalonym przez Radę Wydziału Architektury.</w:t>
      </w:r>
    </w:p>
    <w:p w:rsidR="003C4503" w:rsidRPr="00252563" w:rsidRDefault="003C4503" w:rsidP="003C45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skład Konwentu Wydziału, powołanego na lata 2012-2016, wchodzą:</w:t>
      </w:r>
    </w:p>
    <w:p w:rsidR="003C4503" w:rsidRPr="0025256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b/>
          <w:bCs/>
          <w:sz w:val="22"/>
          <w:szCs w:val="22"/>
        </w:rPr>
        <w:t xml:space="preserve">Przedstawiciele organów samorządu terytorialnego i izb zawodowych: </w:t>
      </w:r>
    </w:p>
    <w:p w:rsidR="003C4503" w:rsidRPr="0025256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Zbigniew Maćków – przewodniczący rady Dolnośląskiej Okręgowej Izby Architektów. </w:t>
      </w:r>
    </w:p>
    <w:p w:rsidR="003C4503" w:rsidRPr="0025256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Maciej Zathey – Dyrektor Departamentu Rozwoju Regionalnego. </w:t>
      </w:r>
    </w:p>
    <w:p w:rsidR="003C4503" w:rsidRPr="0025256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Maciej Hawrylak – przewodniczący SARP/o. Wrocław, przedstawiciel WA PWr. </w:t>
      </w:r>
    </w:p>
    <w:p w:rsidR="003C450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Maciej Borsa – Wojewódzkie Biuro Urbanistyczne. 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>Andrzej Poniewierka – Członek Krajowej Rady Izby Architektów RP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b/>
          <w:bCs/>
          <w:color w:val="auto"/>
          <w:sz w:val="22"/>
          <w:szCs w:val="22"/>
        </w:rPr>
        <w:t xml:space="preserve">Przedstawiciele pracodawców: 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 xml:space="preserve">Arkadiusz Chamielec – Kuryłowicz&amp;Associates. 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 xml:space="preserve">Agnieszka Szczepaniak – APA Szczepaniak. 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 xml:space="preserve">Marek Wiśniewski – Biuro Architektoniczne Bzdęga – Wiśniewski Sp. z o.o. 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 xml:space="preserve">Ryszard Daczkowski – Dastudio. 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 xml:space="preserve">Maciej Szarapo – ASPA Pracownia Architektoniczna. 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>Edward Lach – Studio EL Pracownia Projektowo-Realizacyjna.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>Leszek Łękawa – Impressio Arch. Leszek Łękawa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 xml:space="preserve">Krzysztof Janczura – Prezes zarządu Jordahl &amp; Pfeifer Technika Budowlana Sp. z o.o. 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 xml:space="preserve">Roman M. Meysner - Vantage Development SA </w:t>
      </w:r>
    </w:p>
    <w:p w:rsidR="003C4503" w:rsidRPr="003C4503" w:rsidRDefault="003C4503" w:rsidP="003C45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4503">
        <w:rPr>
          <w:rFonts w:ascii="Arial" w:hAnsi="Arial" w:cs="Arial"/>
          <w:color w:val="auto"/>
          <w:sz w:val="22"/>
          <w:szCs w:val="22"/>
        </w:rPr>
        <w:t>Tomasz Nespiak Biuro Projektowe Arch. Tomasz Nespiak</w:t>
      </w:r>
    </w:p>
    <w:p w:rsidR="003C4503" w:rsidRPr="0025256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b/>
          <w:bCs/>
          <w:sz w:val="22"/>
          <w:szCs w:val="22"/>
        </w:rPr>
        <w:t xml:space="preserve">Profesorowie zagraniczni: </w:t>
      </w:r>
    </w:p>
    <w:p w:rsidR="003C4503" w:rsidRPr="0025256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Gunter Henn – Henn Architektem, Munich. </w:t>
      </w:r>
    </w:p>
    <w:p w:rsidR="003C4503" w:rsidRPr="00D309A5" w:rsidRDefault="003C4503" w:rsidP="003C4503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D309A5">
        <w:rPr>
          <w:rFonts w:ascii="Arial" w:hAnsi="Arial" w:cs="Arial"/>
          <w:sz w:val="22"/>
          <w:szCs w:val="22"/>
          <w:lang w:val="en-US"/>
        </w:rPr>
        <w:t xml:space="preserve">Andreas Wolf – Hochschule fur Technik, Leipzig. </w:t>
      </w:r>
    </w:p>
    <w:p w:rsidR="003C4503" w:rsidRPr="0025256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b/>
          <w:bCs/>
          <w:sz w:val="22"/>
          <w:szCs w:val="22"/>
        </w:rPr>
        <w:t xml:space="preserve">Osoby powołane do współpracy z Wydziału Architektury PWr.: </w:t>
      </w:r>
    </w:p>
    <w:p w:rsidR="003C4503" w:rsidRPr="0025256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Elżbieta Trocka-Leszczyńska, Dziekan Wydziału. </w:t>
      </w:r>
    </w:p>
    <w:p w:rsidR="003C4503" w:rsidRPr="00252563" w:rsidRDefault="003C4503" w:rsidP="003C4503">
      <w:pPr>
        <w:pStyle w:val="Default"/>
        <w:rPr>
          <w:rFonts w:ascii="Arial" w:hAnsi="Arial" w:cs="Arial"/>
          <w:sz w:val="22"/>
          <w:szCs w:val="22"/>
        </w:rPr>
      </w:pPr>
      <w:r w:rsidRPr="00252563">
        <w:rPr>
          <w:rFonts w:ascii="Arial" w:hAnsi="Arial" w:cs="Arial"/>
          <w:sz w:val="22"/>
          <w:szCs w:val="22"/>
        </w:rPr>
        <w:t xml:space="preserve">Bogusław Wowrzeczka – Prodziekan Wydziału. </w:t>
      </w:r>
    </w:p>
    <w:p w:rsidR="003C4503" w:rsidRPr="00252563" w:rsidRDefault="003C4503" w:rsidP="003C4503">
      <w:pPr>
        <w:autoSpaceDE w:val="0"/>
        <w:autoSpaceDN w:val="0"/>
        <w:adjustRightInd w:val="0"/>
      </w:pPr>
      <w:r w:rsidRPr="00252563">
        <w:t xml:space="preserve">Joanna Jabłońska – przedstawiciel Wydziału </w:t>
      </w:r>
    </w:p>
    <w:p w:rsidR="003C4503" w:rsidRDefault="003C4503" w:rsidP="003C4503">
      <w:pPr>
        <w:autoSpaceDE w:val="0"/>
        <w:autoSpaceDN w:val="0"/>
        <w:adjustRightInd w:val="0"/>
        <w:rPr>
          <w:color w:val="000000"/>
        </w:rPr>
      </w:pPr>
    </w:p>
    <w:p w:rsidR="003C4503" w:rsidRDefault="003C4503" w:rsidP="003C45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Ważnym elementem spotkań jest konsultowanie z członkami Konwentu kierunków modyfikacji programów kształcenia tak, aby w istotnym stopniu były one zgodne z oczekiwaniami rynku pracy i ułatwiły absolwentom wydziału pierwsze lata pracy w zawodzie.</w:t>
      </w:r>
    </w:p>
    <w:p w:rsidR="003C4503" w:rsidRDefault="003C4503" w:rsidP="003C4503">
      <w:pPr>
        <w:autoSpaceDE w:val="0"/>
        <w:autoSpaceDN w:val="0"/>
        <w:adjustRightInd w:val="0"/>
        <w:rPr>
          <w:color w:val="000000"/>
        </w:rPr>
      </w:pPr>
    </w:p>
    <w:p w:rsidR="003C4503" w:rsidRPr="003C4503" w:rsidRDefault="003C4503" w:rsidP="003C4503">
      <w:pPr>
        <w:autoSpaceDE w:val="0"/>
        <w:autoSpaceDN w:val="0"/>
        <w:adjustRightInd w:val="0"/>
      </w:pPr>
      <w:r w:rsidRPr="003C4503">
        <w:t>W roku akademickim 2015/2016 odbyły się 2 posiedzenia Konwentu (23.03.2016, 11.05.2016) poświęcone następującym tematom:</w:t>
      </w:r>
    </w:p>
    <w:p w:rsidR="003C4503" w:rsidRPr="003C4503" w:rsidRDefault="003C4503" w:rsidP="003C4503">
      <w:pPr>
        <w:autoSpaceDE w:val="0"/>
        <w:autoSpaceDN w:val="0"/>
        <w:adjustRightInd w:val="0"/>
      </w:pPr>
    </w:p>
    <w:p w:rsidR="003C4503" w:rsidRPr="003C4503" w:rsidRDefault="003C4503" w:rsidP="003C4503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3C4503">
        <w:t>przygotowanie absolwenta Wydziału do funkcjonowania na rynku pracy</w:t>
      </w:r>
    </w:p>
    <w:p w:rsidR="003C4503" w:rsidRPr="003C4503" w:rsidRDefault="003C4503" w:rsidP="003C4503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3C4503">
        <w:lastRenderedPageBreak/>
        <w:t xml:space="preserve">kursy o charakterze wybieralnym w ramach Curriculum na I i II stopniu studiów – ich zakres oferty i zawartość merytoryczna </w:t>
      </w:r>
    </w:p>
    <w:p w:rsidR="003C4503" w:rsidRPr="003C4503" w:rsidRDefault="003C4503" w:rsidP="003C4503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3C4503">
        <w:t>karty kursów przygotowanych przez Studium Nauk Humanistycznych</w:t>
      </w:r>
    </w:p>
    <w:p w:rsidR="003C4503" w:rsidRPr="003C4503" w:rsidRDefault="003C4503" w:rsidP="003C4503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3C4503">
        <w:t xml:space="preserve">umiejętności budowania relacji interpersonalnych, w tym komunikacji w ramach szeroko zakrojonej działalności zawodowej wśród absolwentów – forma i sposób wspomożenia studentów Wydziału </w:t>
      </w:r>
    </w:p>
    <w:p w:rsidR="003C4503" w:rsidRPr="003C4503" w:rsidRDefault="003C4503" w:rsidP="003C4503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3C4503">
        <w:t xml:space="preserve">potrzeba tworzenia określonego profilu absolwenta – możliwości działalności zawodowej na różnych polach, a także polskich i zagranicznych rynkach pracy </w:t>
      </w:r>
    </w:p>
    <w:p w:rsidR="003C4503" w:rsidRPr="003C4503" w:rsidRDefault="003C4503" w:rsidP="003C4503">
      <w:pPr>
        <w:rPr>
          <w:rFonts w:asciiTheme="majorHAnsi" w:hAnsiTheme="majorHAnsi"/>
          <w:sz w:val="24"/>
          <w:szCs w:val="24"/>
        </w:rPr>
      </w:pPr>
    </w:p>
    <w:p w:rsidR="003C4503" w:rsidRPr="003C4503" w:rsidRDefault="003C4503" w:rsidP="003C4503">
      <w:pPr>
        <w:rPr>
          <w:rFonts w:asciiTheme="majorHAnsi" w:hAnsiTheme="majorHAnsi"/>
          <w:sz w:val="24"/>
          <w:szCs w:val="24"/>
        </w:rPr>
      </w:pPr>
    </w:p>
    <w:p w:rsidR="003C4503" w:rsidRPr="003C4503" w:rsidRDefault="003C4503" w:rsidP="003C4503">
      <w:pPr>
        <w:pStyle w:val="Standard"/>
        <w:rPr>
          <w:rFonts w:ascii="Arial" w:hAnsi="Arial" w:cs="Arial"/>
          <w:b/>
          <w:sz w:val="22"/>
          <w:szCs w:val="22"/>
        </w:rPr>
      </w:pPr>
      <w:r w:rsidRPr="003C4503">
        <w:rPr>
          <w:rFonts w:ascii="Arial" w:hAnsi="Arial" w:cs="Arial"/>
          <w:b/>
          <w:sz w:val="22"/>
          <w:szCs w:val="22"/>
        </w:rPr>
        <w:t>Konwent podjął dwie uchwały:</w:t>
      </w:r>
    </w:p>
    <w:p w:rsidR="003C4503" w:rsidRPr="003C4503" w:rsidRDefault="003C4503" w:rsidP="003C4503">
      <w:pPr>
        <w:pStyle w:val="Standard"/>
        <w:rPr>
          <w:rFonts w:ascii="Arial" w:eastAsia="Batang" w:hAnsi="Arial" w:cs="Arial"/>
          <w:b/>
          <w:kern w:val="2"/>
          <w:sz w:val="22"/>
          <w:szCs w:val="22"/>
          <w:lang w:eastAsia="ko-KR" w:bidi="ar-SA"/>
        </w:rPr>
      </w:pPr>
    </w:p>
    <w:p w:rsidR="003C4503" w:rsidRPr="003C4503" w:rsidRDefault="003C4503" w:rsidP="003C4503">
      <w:pPr>
        <w:pStyle w:val="Akapitzlist"/>
        <w:numPr>
          <w:ilvl w:val="0"/>
          <w:numId w:val="13"/>
        </w:numPr>
        <w:rPr>
          <w:b/>
        </w:rPr>
      </w:pPr>
      <w:r w:rsidRPr="003C4503">
        <w:rPr>
          <w:b/>
        </w:rPr>
        <w:t>UCHWAŁA KONWENTU – RADY SPOŁECZNEJ WYDZIAŁU ARCHITEKTURY POLITECHNIKI WROCŁAWSKIEJ NR 04/2015</w:t>
      </w:r>
    </w:p>
    <w:p w:rsidR="003C4503" w:rsidRDefault="003C4503" w:rsidP="003C4503">
      <w:pPr>
        <w:pStyle w:val="Akapitzlist"/>
        <w:widowControl w:val="0"/>
        <w:wordWrap w:val="0"/>
        <w:autoSpaceDE w:val="0"/>
        <w:autoSpaceDN w:val="0"/>
        <w:ind w:left="0"/>
      </w:pPr>
      <w:r w:rsidRPr="003C4503">
        <w:t xml:space="preserve">Dokument dotyczy charakteru kształcenia na studiach II stopnia na kierunku </w:t>
      </w:r>
    </w:p>
    <w:p w:rsidR="003C4503" w:rsidRPr="003C4503" w:rsidRDefault="003C4503" w:rsidP="003C4503">
      <w:pPr>
        <w:pStyle w:val="Akapitzlist"/>
        <w:widowControl w:val="0"/>
        <w:wordWrap w:val="0"/>
        <w:autoSpaceDE w:val="0"/>
        <w:autoSpaceDN w:val="0"/>
        <w:ind w:left="0"/>
      </w:pPr>
      <w:r>
        <w:t>Architektura i Urbanistyka.</w:t>
      </w:r>
    </w:p>
    <w:p w:rsidR="003C4503" w:rsidRPr="003C4503" w:rsidRDefault="003C4503" w:rsidP="003C4503">
      <w:pPr>
        <w:pStyle w:val="Akapitzlist"/>
        <w:widowControl w:val="0"/>
        <w:wordWrap w:val="0"/>
        <w:autoSpaceDE w:val="0"/>
        <w:autoSpaceDN w:val="0"/>
        <w:ind w:left="0"/>
      </w:pPr>
      <w:r w:rsidRPr="003C4503">
        <w:rPr>
          <w:rFonts w:eastAsia="Batang"/>
          <w:kern w:val="2"/>
          <w:lang w:eastAsia="ko-KR"/>
        </w:rPr>
        <w:t xml:space="preserve">Zaleca likwidację specjalności na studiach II stopnia na rzecz zwiększenia wybieralności w ramach programu studiów i wprowadzania nowoczesnych metod kształcenia, typu „desing by research”. Wskazuje się metody budowania tożsamości ww. programu. </w:t>
      </w:r>
    </w:p>
    <w:p w:rsidR="003C4503" w:rsidRPr="003C4503" w:rsidRDefault="003C4503" w:rsidP="003C4503">
      <w:pPr>
        <w:pStyle w:val="Standard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</w:p>
    <w:p w:rsidR="003C4503" w:rsidRPr="003C4503" w:rsidRDefault="003C4503" w:rsidP="003C4503">
      <w:pPr>
        <w:pStyle w:val="Akapitzlist"/>
        <w:numPr>
          <w:ilvl w:val="0"/>
          <w:numId w:val="13"/>
        </w:numPr>
        <w:rPr>
          <w:b/>
        </w:rPr>
      </w:pPr>
      <w:r w:rsidRPr="003C4503">
        <w:rPr>
          <w:b/>
        </w:rPr>
        <w:t>UCHWAŁA KONWENTU – RADY SPOŁECZNEJ WYDZIAŁU ARCHITEKTURY POLITECHNIKI WROCŁAWSKIEJ NR 05/2016 z dn. 11.05.2016</w:t>
      </w:r>
    </w:p>
    <w:p w:rsidR="003C4503" w:rsidRPr="003C4503" w:rsidRDefault="003C4503" w:rsidP="003C4503">
      <w:pPr>
        <w:pStyle w:val="Standard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  <w:r w:rsidRPr="003C4503">
        <w:rPr>
          <w:rFonts w:ascii="Arial" w:eastAsia="Batang" w:hAnsi="Arial" w:cs="Arial"/>
          <w:kern w:val="2"/>
          <w:sz w:val="22"/>
          <w:szCs w:val="22"/>
          <w:lang w:eastAsia="ko-KR" w:bidi="ar-SA"/>
        </w:rPr>
        <w:t>Dokument koncentruje się na metodach wzmocnienia szans zawodowych absolwentów WA PWr na rynku pracy, w toku kształcenia w ramach studiów I i II stopnia. Proponuje m.in.: wskazywanie studentom różnych ścieżek rozwoju zawodowego, w ramach pracy architekta i dziedzin pokrewnych, trening przedsiębiorczości i innowacyjności, naukę komunikacji, czy kursy związane bezpośrednio z prowadzeniem działalności gospodarczej lub budowania startup’ów. Działania te mogą być prowadzone w ramach: dodatkowych szkoleń, warsztatów, wykładów, krótkich i inspirujących form dydaktycznych, a także kursy przygotowywane przez Studium Nauk Humanistycznych i Wydział Informatyki i Zarządzania PWr. Konwent zaleca również nawiązanie współpracy z instytucjami wspierającymi rozwój absolwentów  i ich karier, tj.: Wrocławski Parkiem Technologiczny, Biuro Karier PWr.</w:t>
      </w:r>
    </w:p>
    <w:p w:rsidR="003C4503" w:rsidRPr="003C4503" w:rsidRDefault="003C4503" w:rsidP="003C4503">
      <w:pPr>
        <w:pStyle w:val="Standard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</w:p>
    <w:p w:rsidR="003C4503" w:rsidRPr="003C4503" w:rsidRDefault="003C4503" w:rsidP="003C4503">
      <w:pPr>
        <w:pStyle w:val="Standard"/>
        <w:rPr>
          <w:rFonts w:ascii="Arial" w:eastAsia="Batang" w:hAnsi="Arial" w:cs="Arial"/>
          <w:kern w:val="2"/>
          <w:sz w:val="22"/>
          <w:szCs w:val="22"/>
          <w:lang w:eastAsia="ko-KR" w:bidi="ar-SA"/>
        </w:rPr>
      </w:pPr>
      <w:r w:rsidRPr="003C4503">
        <w:rPr>
          <w:rFonts w:ascii="Arial" w:eastAsia="Batang" w:hAnsi="Arial" w:cs="Arial"/>
          <w:kern w:val="2"/>
          <w:sz w:val="22"/>
          <w:szCs w:val="22"/>
          <w:lang w:eastAsia="ko-KR" w:bidi="ar-SA"/>
        </w:rPr>
        <w:t xml:space="preserve">Uchwały Konwentu były przedmiotem dyskusji na Radach Wydziału . Większość wniosków z dyskusji  </w:t>
      </w:r>
      <w:r w:rsidRPr="003C4503">
        <w:rPr>
          <w:rFonts w:ascii="Arial" w:hAnsi="Arial" w:cs="Arial"/>
          <w:sz w:val="22"/>
          <w:szCs w:val="22"/>
        </w:rPr>
        <w:t xml:space="preserve">była pozytywna i wnioskowana do stopniowego wdrożenia do programu kształcenia. Niektóre tezy uchwał uznano za zbyt daleko ingerujące w niezależność WA.  </w:t>
      </w:r>
    </w:p>
    <w:p w:rsidR="003C4503" w:rsidRPr="003C4503" w:rsidRDefault="003C4503" w:rsidP="003C4503"/>
    <w:p w:rsidR="00252563" w:rsidRDefault="00F637CD" w:rsidP="00623814">
      <w:pPr>
        <w:tabs>
          <w:tab w:val="left" w:pos="738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</w:t>
      </w:r>
    </w:p>
    <w:p w:rsidR="00F3041A" w:rsidRPr="00794810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794810">
        <w:rPr>
          <w:b/>
          <w:color w:val="000000"/>
        </w:rPr>
        <w:t xml:space="preserve"> Monitorowanie sprawności obsługi administracyjnej w dziekanacie.</w:t>
      </w:r>
    </w:p>
    <w:p w:rsidR="004C3702" w:rsidRDefault="00230115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F3041A">
        <w:rPr>
          <w:color w:val="000000"/>
        </w:rPr>
        <w:t xml:space="preserve">Godziny obsługi studentów w dziekanacie </w:t>
      </w:r>
      <w:r w:rsidR="004C3702">
        <w:rPr>
          <w:color w:val="000000"/>
        </w:rPr>
        <w:t xml:space="preserve">są  wystarczające do obsługi studentów a </w:t>
      </w:r>
      <w:r w:rsidR="00F3041A">
        <w:rPr>
          <w:color w:val="000000"/>
        </w:rPr>
        <w:t xml:space="preserve"> kolejki oczekujących</w:t>
      </w:r>
      <w:r w:rsidR="004C3702">
        <w:rPr>
          <w:color w:val="000000"/>
        </w:rPr>
        <w:t xml:space="preserve"> występują sporadycznie</w:t>
      </w:r>
      <w:r w:rsidR="00F3041A">
        <w:rPr>
          <w:color w:val="000000"/>
        </w:rPr>
        <w:t xml:space="preserve">. </w:t>
      </w:r>
    </w:p>
    <w:p w:rsidR="004C3702" w:rsidRDefault="004C370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Godziny pracy dziekanatu są również </w:t>
      </w:r>
      <w:r w:rsidR="00F3041A">
        <w:rPr>
          <w:color w:val="000000"/>
        </w:rPr>
        <w:t>dostosowane do</w:t>
      </w:r>
      <w:r>
        <w:rPr>
          <w:color w:val="000000"/>
        </w:rPr>
        <w:t xml:space="preserve"> obsługi</w:t>
      </w:r>
      <w:r w:rsidR="00F3041A">
        <w:rPr>
          <w:color w:val="000000"/>
        </w:rPr>
        <w:t xml:space="preserve"> stu</w:t>
      </w:r>
      <w:r>
        <w:rPr>
          <w:color w:val="000000"/>
        </w:rPr>
        <w:t>dentów studiów niestacjonarnych</w:t>
      </w:r>
      <w:r w:rsidR="00F3041A">
        <w:rPr>
          <w:color w:val="000000"/>
        </w:rPr>
        <w:t xml:space="preserve">. </w:t>
      </w:r>
    </w:p>
    <w:p w:rsidR="00F3041A" w:rsidRDefault="004C370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 </w:t>
      </w:r>
      <w:r w:rsidR="00F3041A">
        <w:rPr>
          <w:color w:val="000000"/>
        </w:rPr>
        <w:t xml:space="preserve"> tablic</w:t>
      </w:r>
      <w:r>
        <w:rPr>
          <w:color w:val="000000"/>
        </w:rPr>
        <w:t xml:space="preserve">ach </w:t>
      </w:r>
      <w:r w:rsidR="00F3041A">
        <w:rPr>
          <w:color w:val="000000"/>
        </w:rPr>
        <w:t xml:space="preserve"> ogłoszeń</w:t>
      </w:r>
      <w:r>
        <w:rPr>
          <w:color w:val="000000"/>
        </w:rPr>
        <w:t xml:space="preserve"> umieszcza się bieżące komunikaty.</w:t>
      </w:r>
    </w:p>
    <w:p w:rsidR="00F3041A" w:rsidRDefault="004C370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Zwiększyła się ranga i znaczenie  informacji umieszczanych  na stronie wydziałowej</w:t>
      </w:r>
      <w:r w:rsidR="00B82B3F">
        <w:rPr>
          <w:color w:val="000000"/>
        </w:rPr>
        <w:t xml:space="preserve"> www </w:t>
      </w:r>
      <w:r>
        <w:rPr>
          <w:color w:val="000000"/>
        </w:rPr>
        <w:t>oraz na portalu i</w:t>
      </w:r>
      <w:r w:rsidR="00F3041A">
        <w:rPr>
          <w:color w:val="000000"/>
        </w:rPr>
        <w:t>nformatyczny</w:t>
      </w:r>
      <w:r>
        <w:rPr>
          <w:color w:val="000000"/>
        </w:rPr>
        <w:t xml:space="preserve">m </w:t>
      </w:r>
      <w:r w:rsidR="00F3041A">
        <w:rPr>
          <w:color w:val="000000"/>
        </w:rPr>
        <w:t xml:space="preserve"> Edukacja.CL.</w:t>
      </w:r>
    </w:p>
    <w:p w:rsidR="004C3702" w:rsidRDefault="004C370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Prodziekan monitoruje </w:t>
      </w:r>
      <w:r w:rsidR="00B82B3F">
        <w:rPr>
          <w:color w:val="000000"/>
        </w:rPr>
        <w:t xml:space="preserve">umieszczanie </w:t>
      </w:r>
      <w:r>
        <w:rPr>
          <w:color w:val="000000"/>
        </w:rPr>
        <w:t xml:space="preserve">  tych informacji i sprawdza ich aktualizowanie. Przepływ informacji w roku akademickim </w:t>
      </w:r>
      <w:r w:rsidR="00B34033">
        <w:rPr>
          <w:color w:val="000000"/>
        </w:rPr>
        <w:t>2015/2016</w:t>
      </w:r>
      <w:r w:rsidR="00B82B3F">
        <w:rPr>
          <w:color w:val="000000"/>
        </w:rPr>
        <w:t xml:space="preserve"> </w:t>
      </w:r>
      <w:r>
        <w:rPr>
          <w:color w:val="000000"/>
        </w:rPr>
        <w:t xml:space="preserve">znacznie się poprawił dzięki wyznaczeniu osób odpowiedzialnych za ich </w:t>
      </w:r>
      <w:r w:rsidR="00B82B3F">
        <w:rPr>
          <w:color w:val="000000"/>
        </w:rPr>
        <w:t xml:space="preserve">umieszczanie i </w:t>
      </w:r>
      <w:r>
        <w:rPr>
          <w:color w:val="000000"/>
        </w:rPr>
        <w:t>aktualizowanie</w:t>
      </w:r>
      <w:r w:rsidR="00B82B3F">
        <w:rPr>
          <w:color w:val="000000"/>
        </w:rPr>
        <w:t xml:space="preserve"> na stronach www.</w:t>
      </w:r>
      <w:r>
        <w:rPr>
          <w:color w:val="000000"/>
        </w:rPr>
        <w:t xml:space="preserve">. </w:t>
      </w:r>
    </w:p>
    <w:p w:rsidR="00F637CD" w:rsidRDefault="00F637CD" w:rsidP="00623814">
      <w:pPr>
        <w:autoSpaceDE w:val="0"/>
        <w:autoSpaceDN w:val="0"/>
        <w:adjustRightInd w:val="0"/>
        <w:rPr>
          <w:color w:val="000000"/>
        </w:rPr>
      </w:pPr>
    </w:p>
    <w:p w:rsidR="00F637CD" w:rsidRPr="00F637CD" w:rsidRDefault="00F637CD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F637CD">
        <w:rPr>
          <w:b/>
          <w:color w:val="000000"/>
        </w:rPr>
        <w:t>Monitorowanie procesu rekrutacji na studia.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Istotnym elementem zapewnienia jakości kształcenia na Wydziale jest prowadzenie monitorowania procesu rekrutacji na studia.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Proces rekrutacji na studia I i II stopnia, stacjonarne i niestacjonarne, jest w Politechnice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Wrocławskiej realizowany centralnie (w procedurze internetowej), zgodnie z corocznie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ogłaszanymi ZW i PO Rektora PWr..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Dane dotyczące Wydziału są przygotowywane przez Prodziekana ds. Dydaktyki 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przekazywane do Działu Rekrutacji.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Rektor powołuje corocznie Uczelnianą Komisję Rekrutacyjną oraz Międzywydziałową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Komisję Rekrutacyjną. 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Rada Wydziału uchwala corocznie planowaną liczbę przyjęć na studia na kierunkach:  Architektura i Gospodarka Przestrzenna biorąc  pod uwagę możliwości i ograniczenia Wydziału.</w:t>
      </w:r>
    </w:p>
    <w:p w:rsidR="007F3513" w:rsidRPr="002311BA" w:rsidRDefault="007F3513" w:rsidP="007F3513">
      <w:pPr>
        <w:rPr>
          <w:color w:val="000000"/>
        </w:rPr>
      </w:pPr>
      <w:r w:rsidRPr="00647A07">
        <w:rPr>
          <w:b/>
          <w:color w:val="000000"/>
        </w:rPr>
        <w:t xml:space="preserve">Rada Wydziału w dniu </w:t>
      </w:r>
      <w:r>
        <w:rPr>
          <w:b/>
          <w:color w:val="000000"/>
        </w:rPr>
        <w:t xml:space="preserve">17.12.2014 r. </w:t>
      </w:r>
      <w:r w:rsidRPr="00647A07">
        <w:rPr>
          <w:b/>
          <w:color w:val="000000"/>
        </w:rPr>
        <w:t>uchwaliła  na rok akademicki 2015/2016  następujące limity przyjęć</w:t>
      </w:r>
      <w:r w:rsidRPr="002311BA">
        <w:rPr>
          <w:color w:val="000000"/>
        </w:rPr>
        <w:t xml:space="preserve"> :</w:t>
      </w:r>
    </w:p>
    <w:p w:rsidR="007F3513" w:rsidRPr="002311BA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ARCHITEKT</w:t>
      </w:r>
      <w:r>
        <w:rPr>
          <w:color w:val="000000"/>
        </w:rPr>
        <w:t xml:space="preserve">URA – rekrutacja czerwiec 2015 </w:t>
      </w:r>
      <w:r w:rsidRPr="002311BA">
        <w:rPr>
          <w:color w:val="000000"/>
        </w:rPr>
        <w:t xml:space="preserve">– ogółem </w:t>
      </w:r>
      <w:r w:rsidRPr="00832553">
        <w:rPr>
          <w:b/>
          <w:color w:val="000000"/>
        </w:rPr>
        <w:t xml:space="preserve">276 </w:t>
      </w:r>
      <w:r w:rsidRPr="002311BA">
        <w:rPr>
          <w:color w:val="000000"/>
        </w:rPr>
        <w:t>osób: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Architektura stacjonarna – </w:t>
      </w:r>
      <w:r w:rsidRPr="00832553">
        <w:rPr>
          <w:b/>
          <w:color w:val="000000"/>
        </w:rPr>
        <w:t xml:space="preserve">216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>
        <w:rPr>
          <w:color w:val="000000"/>
        </w:rPr>
        <w:t xml:space="preserve">Architektura niestacjonarna - </w:t>
      </w:r>
      <w:r w:rsidRPr="00832553">
        <w:rPr>
          <w:b/>
          <w:color w:val="000000"/>
        </w:rPr>
        <w:t>60</w:t>
      </w:r>
      <w:r w:rsidRPr="002311BA">
        <w:rPr>
          <w:color w:val="000000"/>
        </w:rPr>
        <w:t xml:space="preserve"> osób.</w:t>
      </w:r>
    </w:p>
    <w:p w:rsidR="007F3513" w:rsidRPr="002311BA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GOSPODARKA PRZEST</w:t>
      </w:r>
      <w:r>
        <w:rPr>
          <w:color w:val="000000"/>
        </w:rPr>
        <w:t>RZENNA– rekrutacja czerwiec 2015</w:t>
      </w:r>
      <w:r w:rsidRPr="002311BA">
        <w:rPr>
          <w:color w:val="000000"/>
        </w:rPr>
        <w:t xml:space="preserve"> – ogółem </w:t>
      </w:r>
      <w:r w:rsidRPr="00832553">
        <w:rPr>
          <w:b/>
          <w:color w:val="000000"/>
        </w:rPr>
        <w:t xml:space="preserve">60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ARCHITEKTURA – rekrutacja luty 2016 – ogółem </w:t>
      </w:r>
      <w:r w:rsidRPr="00832553">
        <w:rPr>
          <w:b/>
          <w:color w:val="000000"/>
        </w:rPr>
        <w:t>341</w:t>
      </w:r>
      <w:r>
        <w:rPr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Architekt</w:t>
      </w:r>
      <w:r>
        <w:rPr>
          <w:color w:val="000000"/>
        </w:rPr>
        <w:t xml:space="preserve">ura stacjonarna – </w:t>
      </w:r>
      <w:r w:rsidRPr="00832553">
        <w:rPr>
          <w:b/>
          <w:color w:val="000000"/>
        </w:rPr>
        <w:t>245</w:t>
      </w:r>
      <w:r>
        <w:rPr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Architektura stacjonarna w j. angielskim – </w:t>
      </w:r>
      <w:r w:rsidRPr="00832553">
        <w:rPr>
          <w:b/>
          <w:color w:val="000000"/>
        </w:rPr>
        <w:t xml:space="preserve">36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A</w:t>
      </w:r>
      <w:r>
        <w:rPr>
          <w:color w:val="000000"/>
        </w:rPr>
        <w:t xml:space="preserve">rchitektura niestacjonarna – </w:t>
      </w:r>
      <w:r w:rsidRPr="00832553">
        <w:rPr>
          <w:b/>
          <w:color w:val="000000"/>
        </w:rPr>
        <w:t>60</w:t>
      </w:r>
      <w:r>
        <w:rPr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GOSPODARKA PRZ</w:t>
      </w:r>
      <w:r>
        <w:rPr>
          <w:color w:val="000000"/>
        </w:rPr>
        <w:t>ESTRZENNA – rekrutacja luty 2016</w:t>
      </w:r>
      <w:r w:rsidRPr="002311BA">
        <w:rPr>
          <w:color w:val="000000"/>
        </w:rPr>
        <w:t xml:space="preserve"> – ogółem </w:t>
      </w:r>
      <w:r w:rsidRPr="00832553">
        <w:rPr>
          <w:b/>
          <w:color w:val="000000"/>
        </w:rPr>
        <w:t xml:space="preserve">75 </w:t>
      </w:r>
      <w:r w:rsidRPr="002311BA">
        <w:rPr>
          <w:color w:val="000000"/>
        </w:rPr>
        <w:t>osób: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Gospodarka przestrzenna stacjonarna  - </w:t>
      </w:r>
      <w:r w:rsidRPr="00832553">
        <w:rPr>
          <w:b/>
          <w:color w:val="000000"/>
        </w:rPr>
        <w:t>60</w:t>
      </w:r>
      <w:r>
        <w:rPr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Gospodarka przestrzenna w j. angielskim – </w:t>
      </w:r>
      <w:r w:rsidRPr="00832553">
        <w:rPr>
          <w:b/>
          <w:color w:val="000000"/>
        </w:rPr>
        <w:t>15</w:t>
      </w:r>
      <w:r w:rsidRPr="002311BA">
        <w:rPr>
          <w:color w:val="000000"/>
        </w:rPr>
        <w:t xml:space="preserve"> osób.</w:t>
      </w:r>
    </w:p>
    <w:p w:rsidR="007F3513" w:rsidRDefault="007F3513" w:rsidP="007F3513">
      <w:pPr>
        <w:rPr>
          <w:color w:val="000000"/>
        </w:rPr>
      </w:pPr>
    </w:p>
    <w:p w:rsidR="007F3513" w:rsidRDefault="007F3513" w:rsidP="007F3513">
      <w:pPr>
        <w:rPr>
          <w:b/>
          <w:color w:val="000000"/>
        </w:rPr>
      </w:pPr>
      <w:r w:rsidRPr="00647A07">
        <w:rPr>
          <w:b/>
          <w:color w:val="000000"/>
        </w:rPr>
        <w:t>Przyjęci w roku  2015/2016r.</w:t>
      </w:r>
    </w:p>
    <w:p w:rsidR="007F3513" w:rsidRDefault="007F3513" w:rsidP="007F3513">
      <w:pPr>
        <w:rPr>
          <w:b/>
          <w:color w:val="000000"/>
        </w:rPr>
      </w:pPr>
    </w:p>
    <w:p w:rsidR="007F3513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ARCHITEKT</w:t>
      </w:r>
      <w:r>
        <w:rPr>
          <w:color w:val="000000"/>
        </w:rPr>
        <w:t>URA – rekrutacja czerwiec 2015</w:t>
      </w:r>
      <w:r w:rsidRPr="002311BA">
        <w:rPr>
          <w:color w:val="000000"/>
        </w:rPr>
        <w:t xml:space="preserve">– ogółem </w:t>
      </w:r>
      <w:r w:rsidRPr="00F328CC">
        <w:rPr>
          <w:b/>
          <w:color w:val="000000"/>
        </w:rPr>
        <w:t>225</w:t>
      </w:r>
      <w:r>
        <w:rPr>
          <w:color w:val="000000"/>
        </w:rPr>
        <w:t xml:space="preserve"> </w:t>
      </w:r>
      <w:r w:rsidRPr="002311BA">
        <w:rPr>
          <w:color w:val="000000"/>
        </w:rPr>
        <w:t>osób</w:t>
      </w:r>
      <w:r>
        <w:rPr>
          <w:color w:val="000000"/>
        </w:rPr>
        <w:t xml:space="preserve"> </w:t>
      </w:r>
    </w:p>
    <w:p w:rsidR="007F3513" w:rsidRPr="002311BA" w:rsidRDefault="007F3513" w:rsidP="007F3513">
      <w:pPr>
        <w:ind w:left="720"/>
        <w:rPr>
          <w:color w:val="000000"/>
        </w:rPr>
      </w:pPr>
      <w:r>
        <w:rPr>
          <w:color w:val="000000"/>
        </w:rPr>
        <w:t>(</w:t>
      </w:r>
      <w:r w:rsidRPr="00F328CC">
        <w:rPr>
          <w:b/>
          <w:color w:val="000000"/>
        </w:rPr>
        <w:t>215 z obywatelstwem polskim oraz 10 cudzoziemców</w:t>
      </w:r>
      <w:r>
        <w:rPr>
          <w:color w:val="000000"/>
        </w:rPr>
        <w:t>)</w:t>
      </w:r>
      <w:r w:rsidRPr="002311BA">
        <w:rPr>
          <w:color w:val="000000"/>
        </w:rPr>
        <w:t>:</w:t>
      </w:r>
    </w:p>
    <w:p w:rsidR="007F3513" w:rsidRPr="00F328CC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Architektura stacjonarna – </w:t>
      </w:r>
      <w:r w:rsidRPr="00F328CC">
        <w:rPr>
          <w:b/>
          <w:color w:val="000000"/>
        </w:rPr>
        <w:t xml:space="preserve">205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ind w:left="1440"/>
        <w:rPr>
          <w:color w:val="000000"/>
        </w:rPr>
      </w:pPr>
      <w:r w:rsidRPr="00F328CC">
        <w:rPr>
          <w:b/>
          <w:color w:val="000000"/>
        </w:rPr>
        <w:t>(201 z obywatelstwem polskim oraz 4 cudzoziemców)</w:t>
      </w:r>
      <w:r>
        <w:rPr>
          <w:color w:val="000000"/>
        </w:rPr>
        <w:t xml:space="preserve"> </w:t>
      </w:r>
    </w:p>
    <w:p w:rsidR="007F3513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>
        <w:rPr>
          <w:color w:val="000000"/>
        </w:rPr>
        <w:t xml:space="preserve">Architektura niestacjonarna – </w:t>
      </w:r>
      <w:r w:rsidRPr="00F328CC">
        <w:rPr>
          <w:b/>
          <w:color w:val="000000"/>
        </w:rPr>
        <w:t>20</w:t>
      </w:r>
      <w:r>
        <w:rPr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ind w:left="1440"/>
        <w:rPr>
          <w:color w:val="000000"/>
        </w:rPr>
      </w:pPr>
      <w:r w:rsidRPr="00F328CC">
        <w:rPr>
          <w:b/>
          <w:color w:val="000000"/>
        </w:rPr>
        <w:t xml:space="preserve">(14 z obywatelstwem polskim </w:t>
      </w:r>
      <w:r>
        <w:rPr>
          <w:b/>
          <w:color w:val="000000"/>
        </w:rPr>
        <w:t>oraz</w:t>
      </w:r>
      <w:r w:rsidRPr="00F328CC">
        <w:rPr>
          <w:b/>
          <w:color w:val="000000"/>
        </w:rPr>
        <w:t xml:space="preserve"> 6 cudzoziemców)</w:t>
      </w:r>
      <w:r w:rsidRPr="002311BA">
        <w:rPr>
          <w:color w:val="000000"/>
        </w:rPr>
        <w:t xml:space="preserve"> </w:t>
      </w:r>
    </w:p>
    <w:p w:rsidR="007F3513" w:rsidRPr="00F328CC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GOSPODARKA PRZEST</w:t>
      </w:r>
      <w:r>
        <w:rPr>
          <w:color w:val="000000"/>
        </w:rPr>
        <w:t>RZENNA– rekrutacja czerwiec 2015</w:t>
      </w:r>
      <w:r w:rsidRPr="002311BA">
        <w:rPr>
          <w:color w:val="000000"/>
        </w:rPr>
        <w:t xml:space="preserve"> – ogółem </w:t>
      </w:r>
      <w:r w:rsidRPr="00F328CC">
        <w:rPr>
          <w:b/>
          <w:color w:val="000000"/>
        </w:rPr>
        <w:t xml:space="preserve">61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ind w:left="720"/>
        <w:rPr>
          <w:color w:val="000000"/>
        </w:rPr>
      </w:pPr>
      <w:r w:rsidRPr="00F328CC">
        <w:rPr>
          <w:b/>
          <w:color w:val="000000"/>
        </w:rPr>
        <w:t>(60 z obywatelstwem polskim oraz 1 cudzoziemiec)</w:t>
      </w:r>
      <w:r>
        <w:rPr>
          <w:color w:val="000000"/>
        </w:rPr>
        <w:t xml:space="preserve"> </w:t>
      </w:r>
    </w:p>
    <w:p w:rsidR="007F3513" w:rsidRPr="002311BA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ARCHITEKTURA – rekrutacja luty 2016 – ogółem </w:t>
      </w:r>
      <w:r>
        <w:rPr>
          <w:color w:val="000000"/>
        </w:rPr>
        <w:t>…….</w:t>
      </w:r>
      <w:r w:rsidRPr="002311BA">
        <w:rPr>
          <w:color w:val="000000"/>
        </w:rPr>
        <w:t>osób.</w:t>
      </w:r>
    </w:p>
    <w:p w:rsidR="007F3513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Architekt</w:t>
      </w:r>
      <w:r>
        <w:rPr>
          <w:color w:val="000000"/>
        </w:rPr>
        <w:t xml:space="preserve">ura stacjonarna – </w:t>
      </w:r>
      <w:r w:rsidRPr="00F328CC">
        <w:rPr>
          <w:b/>
          <w:color w:val="000000"/>
        </w:rPr>
        <w:t xml:space="preserve">283 </w:t>
      </w:r>
      <w:r w:rsidRPr="002311BA">
        <w:rPr>
          <w:color w:val="000000"/>
        </w:rPr>
        <w:t>os</w:t>
      </w:r>
      <w:r>
        <w:rPr>
          <w:color w:val="000000"/>
        </w:rPr>
        <w:t>o</w:t>
      </w:r>
      <w:r w:rsidRPr="002311BA">
        <w:rPr>
          <w:color w:val="000000"/>
        </w:rPr>
        <w:t>b</w:t>
      </w:r>
      <w:r>
        <w:rPr>
          <w:color w:val="000000"/>
        </w:rPr>
        <w:t>y</w:t>
      </w:r>
      <w:r w:rsidRPr="002311BA">
        <w:rPr>
          <w:color w:val="000000"/>
        </w:rPr>
        <w:t>.</w:t>
      </w:r>
    </w:p>
    <w:p w:rsidR="007F3513" w:rsidRPr="00F328CC" w:rsidRDefault="007F3513" w:rsidP="007F3513">
      <w:pPr>
        <w:pStyle w:val="Akapitzlist"/>
        <w:numPr>
          <w:ilvl w:val="0"/>
          <w:numId w:val="24"/>
        </w:numPr>
        <w:rPr>
          <w:b/>
          <w:color w:val="000000"/>
        </w:rPr>
      </w:pPr>
      <w:r w:rsidRPr="00F328CC">
        <w:rPr>
          <w:b/>
          <w:color w:val="000000"/>
        </w:rPr>
        <w:t>z obywatelstwem polskim oraz 9 cudzoziemców)</w:t>
      </w:r>
    </w:p>
    <w:p w:rsidR="007F3513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Architektura </w:t>
      </w:r>
      <w:r>
        <w:rPr>
          <w:color w:val="000000"/>
        </w:rPr>
        <w:t>stacjonarna w j. angielskim –</w:t>
      </w:r>
      <w:r w:rsidRPr="00F328CC">
        <w:rPr>
          <w:b/>
          <w:color w:val="000000"/>
        </w:rPr>
        <w:t xml:space="preserve"> 25</w:t>
      </w:r>
      <w:r>
        <w:rPr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Pr="00F328CC" w:rsidRDefault="007F3513" w:rsidP="007F3513">
      <w:pPr>
        <w:ind w:left="1440"/>
        <w:rPr>
          <w:color w:val="000000"/>
        </w:rPr>
      </w:pPr>
      <w:r w:rsidRPr="00F328CC">
        <w:rPr>
          <w:b/>
          <w:color w:val="000000"/>
        </w:rPr>
        <w:t>(</w:t>
      </w:r>
      <w:r>
        <w:rPr>
          <w:b/>
          <w:color w:val="000000"/>
        </w:rPr>
        <w:t>24</w:t>
      </w:r>
      <w:r w:rsidRPr="00F328CC">
        <w:rPr>
          <w:b/>
          <w:color w:val="000000"/>
        </w:rPr>
        <w:t xml:space="preserve"> z obywatelstwem polskim oraz 1 cudzoziemiec)</w:t>
      </w:r>
      <w:r w:rsidRPr="00F328CC">
        <w:rPr>
          <w:color w:val="000000"/>
        </w:rPr>
        <w:t xml:space="preserve"> 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A</w:t>
      </w:r>
      <w:r>
        <w:rPr>
          <w:color w:val="000000"/>
        </w:rPr>
        <w:t xml:space="preserve">rchitektura niestacjonarna –  </w:t>
      </w:r>
      <w:r w:rsidRPr="00F328CC">
        <w:rPr>
          <w:b/>
          <w:color w:val="000000"/>
        </w:rPr>
        <w:t>21</w:t>
      </w:r>
      <w:r>
        <w:rPr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GOSPODARKA PRZ</w:t>
      </w:r>
      <w:r>
        <w:rPr>
          <w:color w:val="000000"/>
        </w:rPr>
        <w:t>ESTRZENNA – rekrutacja luty 2016</w:t>
      </w:r>
      <w:r w:rsidRPr="002311BA">
        <w:rPr>
          <w:color w:val="000000"/>
        </w:rPr>
        <w:t xml:space="preserve"> – ogółem </w:t>
      </w:r>
      <w:r w:rsidRPr="00F328CC">
        <w:rPr>
          <w:b/>
          <w:color w:val="000000"/>
        </w:rPr>
        <w:t>66</w:t>
      </w:r>
      <w:r>
        <w:rPr>
          <w:color w:val="000000"/>
        </w:rPr>
        <w:t xml:space="preserve"> </w:t>
      </w:r>
      <w:r w:rsidRPr="002311BA">
        <w:rPr>
          <w:color w:val="000000"/>
        </w:rPr>
        <w:t>osób: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Gospodarka przestrzenna stacjonarna  - </w:t>
      </w:r>
      <w:r w:rsidRPr="00F328CC">
        <w:rPr>
          <w:b/>
          <w:color w:val="000000"/>
        </w:rPr>
        <w:t xml:space="preserve">48 </w:t>
      </w:r>
      <w:r w:rsidRPr="002311BA">
        <w:rPr>
          <w:color w:val="000000"/>
        </w:rPr>
        <w:t>osób.</w:t>
      </w:r>
    </w:p>
    <w:p w:rsidR="007F3513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Gospodarka przestrzenna w j. angielskim – </w:t>
      </w:r>
      <w:r w:rsidRPr="00F328CC">
        <w:rPr>
          <w:b/>
          <w:color w:val="000000"/>
        </w:rPr>
        <w:t>18</w:t>
      </w:r>
      <w:r w:rsidRPr="002311BA">
        <w:rPr>
          <w:color w:val="000000"/>
        </w:rPr>
        <w:t xml:space="preserve"> osób.</w:t>
      </w:r>
    </w:p>
    <w:p w:rsidR="007F3513" w:rsidRDefault="007F3513" w:rsidP="007F3513">
      <w:pPr>
        <w:rPr>
          <w:b/>
          <w:color w:val="000000"/>
        </w:rPr>
      </w:pPr>
    </w:p>
    <w:p w:rsidR="007F3513" w:rsidRPr="00647A07" w:rsidRDefault="007F3513" w:rsidP="007F3513">
      <w:pPr>
        <w:rPr>
          <w:b/>
          <w:color w:val="000000"/>
        </w:rPr>
      </w:pP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Wydział prowadził nabór w rekrutacji letniej: na studia I stopnia stacjonarne i niestacjonarne,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 rekrutacji zimowej prowadzona była  rekrutacja na studia II stopnia stacjonarne (po polsku i po angielsku) oraz na studia II stopnia niestacjonarne. </w:t>
      </w:r>
    </w:p>
    <w:p w:rsidR="007F3513" w:rsidRDefault="007F3513" w:rsidP="007F35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 analizy przebiegu rekrutacji wynika że liczba kandydatów na studia stacjonarne I i  II stopnia jest od wielu lat mniej więcej stała,   natomiast liczba kandydatów na studia niestacjonarne podlega cyklicznym  wahaniom. </w:t>
      </w:r>
    </w:p>
    <w:p w:rsidR="007A5CD3" w:rsidRDefault="007A5CD3" w:rsidP="00623814">
      <w:pPr>
        <w:autoSpaceDE w:val="0"/>
        <w:autoSpaceDN w:val="0"/>
        <w:adjustRightInd w:val="0"/>
        <w:rPr>
          <w:color w:val="000000"/>
        </w:rPr>
      </w:pPr>
    </w:p>
    <w:p w:rsidR="00F637CD" w:rsidRDefault="00F637CD" w:rsidP="00623814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color w:val="000000"/>
        </w:rPr>
        <w:tab/>
      </w:r>
    </w:p>
    <w:p w:rsidR="00976040" w:rsidRDefault="00F3041A" w:rsidP="0062381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 Ocena jako</w:t>
      </w:r>
      <w:r>
        <w:rPr>
          <w:rFonts w:ascii="Arial,Bold" w:hAnsi="Arial,Bold" w:cs="Arial,Bold"/>
          <w:b/>
          <w:bCs/>
          <w:color w:val="000000"/>
        </w:rPr>
        <w:t>ś</w:t>
      </w:r>
      <w:r>
        <w:rPr>
          <w:b/>
          <w:bCs/>
          <w:color w:val="000000"/>
        </w:rPr>
        <w:t>ci kształcenia</w:t>
      </w:r>
    </w:p>
    <w:p w:rsidR="00976040" w:rsidRPr="00976040" w:rsidRDefault="00976040" w:rsidP="0062381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976040">
        <w:rPr>
          <w:color w:val="000000"/>
        </w:rPr>
        <w:t xml:space="preserve">Prodziekan ds. Dydaktyki inicjował i monitorował w roku </w:t>
      </w:r>
      <w:r w:rsidR="00B34033">
        <w:rPr>
          <w:color w:val="000000"/>
        </w:rPr>
        <w:t>2015/2016</w:t>
      </w:r>
      <w:r w:rsidRPr="00976040">
        <w:rPr>
          <w:color w:val="000000"/>
        </w:rPr>
        <w:t xml:space="preserve"> działania związane z </w:t>
      </w:r>
      <w:r>
        <w:rPr>
          <w:color w:val="000000"/>
        </w:rPr>
        <w:t xml:space="preserve">oceną </w:t>
      </w:r>
      <w:r w:rsidRPr="00976040">
        <w:rPr>
          <w:color w:val="000000"/>
        </w:rPr>
        <w:t xml:space="preserve"> jakości kształcenia na WA. Działania te były następujące:</w:t>
      </w: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/>
          <w:color w:val="000000"/>
        </w:rPr>
      </w:pPr>
      <w:r w:rsidRPr="002313FD">
        <w:rPr>
          <w:color w:val="000000"/>
        </w:rPr>
        <w:t xml:space="preserve"> </w:t>
      </w:r>
      <w:r w:rsidRPr="002313FD">
        <w:rPr>
          <w:b/>
          <w:color w:val="000000"/>
        </w:rPr>
        <w:t>Ocena dokumentacji procesu kształcenia.</w:t>
      </w:r>
    </w:p>
    <w:p w:rsidR="00A756D8" w:rsidRDefault="0053291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Zespół </w:t>
      </w:r>
      <w:r w:rsidR="00A756D8">
        <w:rPr>
          <w:color w:val="000000"/>
        </w:rPr>
        <w:t xml:space="preserve"> ds. Oceny </w:t>
      </w:r>
      <w:r>
        <w:rPr>
          <w:color w:val="000000"/>
        </w:rPr>
        <w:t xml:space="preserve">Jakości Kształcenia w roku akademickim </w:t>
      </w:r>
      <w:r w:rsidR="00B34033">
        <w:rPr>
          <w:color w:val="000000"/>
        </w:rPr>
        <w:t>2015/2016</w:t>
      </w:r>
      <w:r>
        <w:rPr>
          <w:color w:val="000000"/>
        </w:rPr>
        <w:t xml:space="preserve"> analizując propozycje nowych kursów wybieralnych zwracał szczególną uwagę na zgodność </w:t>
      </w:r>
      <w:r>
        <w:rPr>
          <w:color w:val="000000"/>
        </w:rPr>
        <w:lastRenderedPageBreak/>
        <w:t xml:space="preserve">zawartych w nich  treści </w:t>
      </w:r>
      <w:r w:rsidR="00074CA4">
        <w:rPr>
          <w:color w:val="000000"/>
        </w:rPr>
        <w:t xml:space="preserve">ze standardami dla kierunku Architektura  , a także </w:t>
      </w:r>
      <w:r>
        <w:rPr>
          <w:color w:val="000000"/>
        </w:rPr>
        <w:t>z określonymi dla WA  kierunkowymi efektami kształcenia oraz sprawdzał kompetencje do prowadzenie zajęć przez analizę dorobku naukowego</w:t>
      </w:r>
      <w:r w:rsidR="00B82B3F">
        <w:rPr>
          <w:color w:val="000000"/>
        </w:rPr>
        <w:t xml:space="preserve"> </w:t>
      </w:r>
      <w:r>
        <w:rPr>
          <w:color w:val="000000"/>
        </w:rPr>
        <w:t xml:space="preserve"> z tematyką prowadzonych zajęć.</w:t>
      </w:r>
      <w:r w:rsidR="008454B6">
        <w:rPr>
          <w:color w:val="000000"/>
        </w:rPr>
        <w:t xml:space="preserve"> </w:t>
      </w:r>
      <w:r>
        <w:rPr>
          <w:color w:val="000000"/>
        </w:rPr>
        <w:t xml:space="preserve">W wypadkach wątpliwych zespół zwracał </w:t>
      </w:r>
      <w:r w:rsidR="008454B6">
        <w:rPr>
          <w:color w:val="000000"/>
        </w:rPr>
        <w:t xml:space="preserve">się </w:t>
      </w:r>
      <w:r>
        <w:rPr>
          <w:color w:val="000000"/>
        </w:rPr>
        <w:t xml:space="preserve">do prodziekana o wstrzymanie procedury zatwierdzania nowych kursów wybieralnych przez Radę Wydziału Architektury PWR. </w:t>
      </w:r>
    </w:p>
    <w:p w:rsidR="00830E8C" w:rsidRDefault="00830E8C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/>
          <w:color w:val="000000"/>
        </w:rPr>
      </w:pPr>
      <w:r w:rsidRPr="002313FD">
        <w:rPr>
          <w:b/>
          <w:color w:val="000000"/>
        </w:rPr>
        <w:t>Monitorowanie hospitowania wszystkich form dydaktycznych w procesie kształcenia.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</w:p>
    <w:p w:rsidR="001C7FCB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Hospitacje</w:t>
      </w:r>
      <w:r w:rsidR="006879FB">
        <w:rPr>
          <w:color w:val="000000"/>
        </w:rPr>
        <w:t xml:space="preserve"> w kadencji 2012/2016 </w:t>
      </w:r>
      <w:r>
        <w:rPr>
          <w:color w:val="000000"/>
        </w:rPr>
        <w:t xml:space="preserve"> przeprowadzają trzy </w:t>
      </w:r>
      <w:r w:rsidR="00523A11">
        <w:rPr>
          <w:color w:val="000000"/>
        </w:rPr>
        <w:t>wydziałowe</w:t>
      </w:r>
      <w:r w:rsidR="001C7FCB">
        <w:rPr>
          <w:color w:val="000000"/>
        </w:rPr>
        <w:t xml:space="preserve"> zespoły hospitacyjne:</w:t>
      </w:r>
    </w:p>
    <w:p w:rsidR="001C7FCB" w:rsidRPr="00523A11" w:rsidRDefault="001C7FCB" w:rsidP="00623814">
      <w:pPr>
        <w:spacing w:before="120" w:after="120"/>
        <w:rPr>
          <w:i/>
          <w:u w:val="single"/>
        </w:rPr>
      </w:pPr>
      <w:r w:rsidRPr="00523A11">
        <w:rPr>
          <w:i/>
          <w:u w:val="single"/>
        </w:rPr>
        <w:t xml:space="preserve">Gospodarka Przestrzenna, </w:t>
      </w:r>
      <w:r w:rsidRPr="00523A11">
        <w:rPr>
          <w:i/>
          <w:u w:val="single"/>
          <w:lang w:val="de-DE"/>
        </w:rPr>
        <w:t>Studia Doktoranckie</w:t>
      </w:r>
    </w:p>
    <w:p w:rsidR="001C7FCB" w:rsidRPr="00523A11" w:rsidRDefault="001C7FCB" w:rsidP="00623814">
      <w:r w:rsidRPr="00523A11">
        <w:rPr>
          <w:bCs/>
          <w:lang w:val="de-DE"/>
        </w:rPr>
        <w:t>Dr hab.</w:t>
      </w:r>
      <w:r w:rsidRPr="00523A11">
        <w:rPr>
          <w:lang w:val="de-DE"/>
        </w:rPr>
        <w:t xml:space="preserve"> </w:t>
      </w:r>
      <w:r w:rsidRPr="00523A11">
        <w:t>Robert Masztalski, prof. nadzw. PWr. – przewodniczący.</w:t>
      </w:r>
    </w:p>
    <w:p w:rsidR="001C7FCB" w:rsidRPr="00523A11" w:rsidRDefault="001C7FCB" w:rsidP="00623814">
      <w:pPr>
        <w:rPr>
          <w:lang w:val="en-US"/>
        </w:rPr>
      </w:pPr>
      <w:r w:rsidRPr="00523A11">
        <w:rPr>
          <w:bCs/>
          <w:lang w:val="en-US"/>
        </w:rPr>
        <w:t>Dr hab.</w:t>
      </w:r>
      <w:r w:rsidRPr="00523A11">
        <w:rPr>
          <w:lang w:val="en-US"/>
        </w:rPr>
        <w:t xml:space="preserve"> Alina Drapella-Hermansdorfer, prof. nadzw. PWr.</w:t>
      </w:r>
    </w:p>
    <w:p w:rsidR="001C7FCB" w:rsidRPr="00523A11" w:rsidRDefault="001C7FCB" w:rsidP="00623814">
      <w:pPr>
        <w:rPr>
          <w:lang w:val="en-US"/>
        </w:rPr>
      </w:pPr>
      <w:r w:rsidRPr="00523A11">
        <w:rPr>
          <w:lang w:val="de-DE"/>
        </w:rPr>
        <w:t xml:space="preserve">Dr hab. </w:t>
      </w:r>
      <w:r w:rsidRPr="00523A11">
        <w:rPr>
          <w:lang w:val="en-US"/>
        </w:rPr>
        <w:t>Bogna Ludwig.</w:t>
      </w:r>
    </w:p>
    <w:p w:rsidR="001C7FCB" w:rsidRPr="00523A11" w:rsidRDefault="001C7FCB" w:rsidP="00623814">
      <w:pPr>
        <w:spacing w:before="120" w:after="120"/>
        <w:rPr>
          <w:i/>
          <w:u w:val="single"/>
          <w:lang w:val="de-DE"/>
        </w:rPr>
      </w:pPr>
      <w:r w:rsidRPr="00523A11">
        <w:rPr>
          <w:i/>
          <w:u w:val="single"/>
          <w:lang w:val="de-DE"/>
        </w:rPr>
        <w:t>Architektura, Architektura i Urbanistyka, Studia Doktoranckie</w:t>
      </w:r>
    </w:p>
    <w:p w:rsidR="001C7FCB" w:rsidRPr="00523A11" w:rsidRDefault="001C7FCB" w:rsidP="00623814">
      <w:pPr>
        <w:spacing w:before="120" w:after="120"/>
        <w:rPr>
          <w:i/>
          <w:lang w:val="de-DE"/>
        </w:rPr>
      </w:pPr>
      <w:r w:rsidRPr="00523A11">
        <w:rPr>
          <w:i/>
          <w:lang w:val="de-DE"/>
        </w:rPr>
        <w:t>Komisja I.</w:t>
      </w:r>
    </w:p>
    <w:p w:rsidR="001C7FCB" w:rsidRPr="00523A11" w:rsidRDefault="001C7FCB" w:rsidP="00623814">
      <w:r w:rsidRPr="00523A11">
        <w:rPr>
          <w:bCs/>
        </w:rPr>
        <w:t>Dr hab</w:t>
      </w:r>
      <w:r w:rsidRPr="00523A11">
        <w:t>. Krystyna Kirschke, prof. nadzw. PWr. – przewodniczący.</w:t>
      </w:r>
    </w:p>
    <w:p w:rsidR="001C7FCB" w:rsidRPr="00523A11" w:rsidRDefault="001C7FCB" w:rsidP="00623814">
      <w:pPr>
        <w:rPr>
          <w:lang w:val="de-DE"/>
        </w:rPr>
      </w:pPr>
      <w:r w:rsidRPr="00523A11">
        <w:rPr>
          <w:bCs/>
          <w:lang w:val="de-DE"/>
        </w:rPr>
        <w:t>Prof. hab</w:t>
      </w:r>
      <w:r w:rsidRPr="00523A11">
        <w:rPr>
          <w:lang w:val="de-DE"/>
        </w:rPr>
        <w:t xml:space="preserve">. </w:t>
      </w:r>
      <w:r w:rsidRPr="00523A11">
        <w:t xml:space="preserve">Ewa Łużyniecka, prof. zw. </w:t>
      </w:r>
      <w:r w:rsidRPr="00523A11">
        <w:rPr>
          <w:lang w:val="de-DE"/>
        </w:rPr>
        <w:t xml:space="preserve">PWr </w:t>
      </w:r>
    </w:p>
    <w:p w:rsidR="001C7FCB" w:rsidRPr="00523A11" w:rsidRDefault="001C7FCB" w:rsidP="00623814">
      <w:r w:rsidRPr="00523A11">
        <w:rPr>
          <w:bCs/>
          <w:lang w:val="de-DE"/>
        </w:rPr>
        <w:t xml:space="preserve">Prof. dr hab. </w:t>
      </w:r>
      <w:r w:rsidRPr="00523A11">
        <w:t xml:space="preserve">Jacek Suchodolski </w:t>
      </w:r>
    </w:p>
    <w:p w:rsidR="001C7FCB" w:rsidRPr="00523A11" w:rsidRDefault="001C7FCB" w:rsidP="00623814">
      <w:r w:rsidRPr="00523A11">
        <w:rPr>
          <w:bCs/>
          <w:lang w:val="de-DE"/>
        </w:rPr>
        <w:t>Dr hab</w:t>
      </w:r>
      <w:r w:rsidRPr="00523A11">
        <w:rPr>
          <w:lang w:val="de-DE"/>
        </w:rPr>
        <w:t xml:space="preserve">. </w:t>
      </w:r>
      <w:r w:rsidRPr="00523A11">
        <w:t xml:space="preserve">Leszek Maluga, prof. nadzw. PWr. </w:t>
      </w:r>
    </w:p>
    <w:p w:rsidR="001C7FCB" w:rsidRPr="00523A11" w:rsidRDefault="001C7FCB" w:rsidP="00623814">
      <w:r w:rsidRPr="00523A11">
        <w:rPr>
          <w:bCs/>
        </w:rPr>
        <w:t>Dr hab</w:t>
      </w:r>
      <w:r w:rsidRPr="00523A11">
        <w:t xml:space="preserve">. Marzanna Jagiełło,  prof. nadzw. </w:t>
      </w:r>
      <w:r w:rsidRPr="00523A11">
        <w:rPr>
          <w:lang w:val="de-DE"/>
        </w:rPr>
        <w:t>PWr</w:t>
      </w:r>
      <w:r w:rsidRPr="00523A11">
        <w:t>.</w:t>
      </w:r>
    </w:p>
    <w:p w:rsidR="001C7FCB" w:rsidRPr="00523A11" w:rsidRDefault="001C7FCB" w:rsidP="00623814">
      <w:pPr>
        <w:rPr>
          <w:lang w:val="de-DE"/>
        </w:rPr>
      </w:pPr>
      <w:r w:rsidRPr="00523A11">
        <w:rPr>
          <w:bCs/>
        </w:rPr>
        <w:t>Dr hab</w:t>
      </w:r>
      <w:r w:rsidRPr="00523A11">
        <w:t xml:space="preserve">. Wojciech Brzezowski, prof. nadzw. PWr. </w:t>
      </w:r>
    </w:p>
    <w:p w:rsidR="001C7FCB" w:rsidRPr="00523A11" w:rsidRDefault="001C7FCB" w:rsidP="00623814">
      <w:r w:rsidRPr="00523A11">
        <w:t xml:space="preserve">Dr hab. Romuald Tarczewski </w:t>
      </w:r>
    </w:p>
    <w:p w:rsidR="001C7FCB" w:rsidRPr="00523A11" w:rsidRDefault="001C7FCB" w:rsidP="00623814">
      <w:pPr>
        <w:spacing w:before="120" w:after="120"/>
        <w:rPr>
          <w:i/>
        </w:rPr>
      </w:pPr>
      <w:r w:rsidRPr="00523A11">
        <w:rPr>
          <w:i/>
        </w:rPr>
        <w:t>Komisja II</w:t>
      </w:r>
    </w:p>
    <w:p w:rsidR="001C7FCB" w:rsidRPr="00523A11" w:rsidRDefault="001C7FCB" w:rsidP="00623814">
      <w:pPr>
        <w:rPr>
          <w:b/>
        </w:rPr>
      </w:pPr>
      <w:r w:rsidRPr="00523A11">
        <w:rPr>
          <w:bCs/>
        </w:rPr>
        <w:t>Prof. dr hab</w:t>
      </w:r>
      <w:r w:rsidRPr="00523A11">
        <w:t>. Jerzy Charytonowicz – przewodniczący.</w:t>
      </w:r>
    </w:p>
    <w:p w:rsidR="001C7FCB" w:rsidRPr="00523A11" w:rsidRDefault="001C7FCB" w:rsidP="00623814">
      <w:pPr>
        <w:rPr>
          <w:lang w:val="de-DE"/>
        </w:rPr>
      </w:pPr>
      <w:r w:rsidRPr="00523A11">
        <w:rPr>
          <w:bCs/>
          <w:lang w:val="de-DE"/>
        </w:rPr>
        <w:t>Dr hab.</w:t>
      </w:r>
      <w:r w:rsidRPr="00523A11">
        <w:rPr>
          <w:lang w:val="de-DE"/>
        </w:rPr>
        <w:t xml:space="preserve"> </w:t>
      </w:r>
      <w:r w:rsidRPr="00523A11">
        <w:t xml:space="preserve">Barbara Gronostajska, prof. nadzw. </w:t>
      </w:r>
      <w:r w:rsidRPr="00523A11">
        <w:rPr>
          <w:lang w:val="de-DE"/>
        </w:rPr>
        <w:t>PWr.</w:t>
      </w:r>
    </w:p>
    <w:p w:rsidR="001C7FCB" w:rsidRPr="00523A11" w:rsidRDefault="001C7FCB" w:rsidP="00623814">
      <w:r w:rsidRPr="00523A11">
        <w:t>Prof. dr hab. Rafał Czerner, prof. nadzw. PWr.</w:t>
      </w:r>
    </w:p>
    <w:p w:rsidR="001C7FCB" w:rsidRPr="00523A11" w:rsidRDefault="001C7FCB" w:rsidP="00623814">
      <w:r w:rsidRPr="00523A11">
        <w:t>Dr hab. Małgorzata Chorowska, prof. nadzw. PWr.</w:t>
      </w:r>
    </w:p>
    <w:p w:rsidR="001C7FCB" w:rsidRPr="00523A11" w:rsidRDefault="001C7FCB" w:rsidP="00623814">
      <w:r w:rsidRPr="00523A11">
        <w:t>Dr hab. Jacek Kościuk</w:t>
      </w:r>
      <w:r w:rsidRPr="00523A11">
        <w:rPr>
          <w:bCs/>
        </w:rPr>
        <w:t xml:space="preserve">, </w:t>
      </w:r>
      <w:r w:rsidRPr="00523A11">
        <w:t>prof. nadzw.  PWr.</w:t>
      </w:r>
    </w:p>
    <w:p w:rsidR="001C7FCB" w:rsidRPr="00523A11" w:rsidRDefault="001C7FCB" w:rsidP="00623814">
      <w:pPr>
        <w:rPr>
          <w:bCs/>
          <w:lang w:val="en-US"/>
        </w:rPr>
      </w:pPr>
      <w:r w:rsidRPr="00523A11">
        <w:rPr>
          <w:lang w:val="de-DE"/>
        </w:rPr>
        <w:t>Dr hab</w:t>
      </w:r>
      <w:r w:rsidRPr="00523A11">
        <w:rPr>
          <w:bCs/>
          <w:lang w:val="de-DE"/>
        </w:rPr>
        <w:t xml:space="preserve">. </w:t>
      </w:r>
      <w:r w:rsidRPr="00523A11">
        <w:rPr>
          <w:bCs/>
        </w:rPr>
        <w:t xml:space="preserve">Elżbieta Przesmycka, prof. nadzw. </w:t>
      </w:r>
      <w:r w:rsidRPr="00523A11">
        <w:rPr>
          <w:bCs/>
          <w:lang w:val="en-US"/>
        </w:rPr>
        <w:t xml:space="preserve">PWr  </w:t>
      </w:r>
    </w:p>
    <w:p w:rsidR="001C7FCB" w:rsidRPr="00523A11" w:rsidRDefault="001C7FCB" w:rsidP="00623814">
      <w:pPr>
        <w:rPr>
          <w:lang w:val="de-DE"/>
        </w:rPr>
      </w:pPr>
      <w:r w:rsidRPr="00523A11">
        <w:rPr>
          <w:lang w:val="de-DE"/>
        </w:rPr>
        <w:t>Dr hab. Waldemar Bober.</w:t>
      </w:r>
    </w:p>
    <w:p w:rsidR="00074CA4" w:rsidRDefault="00523A11" w:rsidP="00623814">
      <w:pPr>
        <w:autoSpaceDE w:val="0"/>
        <w:autoSpaceDN w:val="0"/>
        <w:adjustRightInd w:val="0"/>
        <w:rPr>
          <w:b/>
          <w:color w:val="000000"/>
        </w:rPr>
      </w:pPr>
      <w:r w:rsidRPr="00D309A5">
        <w:rPr>
          <w:color w:val="000000"/>
          <w:lang w:val="en-US"/>
        </w:rPr>
        <w:tab/>
      </w:r>
      <w:r w:rsidR="00414D5C">
        <w:rPr>
          <w:b/>
          <w:color w:val="000000"/>
        </w:rPr>
        <w:t>Z</w:t>
      </w:r>
      <w:r w:rsidRPr="006879FB">
        <w:rPr>
          <w:b/>
          <w:color w:val="000000"/>
        </w:rPr>
        <w:t xml:space="preserve"> zaplanowanych w roku akademickim </w:t>
      </w:r>
      <w:r w:rsidR="00B34033">
        <w:rPr>
          <w:b/>
          <w:color w:val="000000"/>
        </w:rPr>
        <w:t>2015/2016</w:t>
      </w:r>
      <w:r w:rsidRPr="006879FB">
        <w:rPr>
          <w:b/>
          <w:color w:val="000000"/>
        </w:rPr>
        <w:t xml:space="preserve"> </w:t>
      </w:r>
      <w:r w:rsidR="00414D5C">
        <w:rPr>
          <w:b/>
          <w:color w:val="000000"/>
        </w:rPr>
        <w:t xml:space="preserve"> </w:t>
      </w:r>
      <w:r w:rsidRPr="006879FB">
        <w:rPr>
          <w:b/>
          <w:color w:val="000000"/>
        </w:rPr>
        <w:t xml:space="preserve">hospitacji Komisje zrealizowały </w:t>
      </w:r>
      <w:r w:rsidR="00074CA4">
        <w:rPr>
          <w:b/>
          <w:color w:val="000000"/>
        </w:rPr>
        <w:t>75 hospitacji według trybu określonego w Zarządzeniu Rektora.</w:t>
      </w:r>
      <w:r w:rsidR="006879FB" w:rsidRPr="006879FB">
        <w:rPr>
          <w:b/>
          <w:color w:val="000000"/>
        </w:rPr>
        <w:t xml:space="preserve">. </w:t>
      </w:r>
    </w:p>
    <w:p w:rsidR="00523A11" w:rsidRPr="006879FB" w:rsidRDefault="00074CA4" w:rsidP="0062381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Wszystkie przeprowadzone </w:t>
      </w:r>
      <w:r w:rsidR="00414D5C">
        <w:rPr>
          <w:b/>
          <w:color w:val="000000"/>
        </w:rPr>
        <w:t xml:space="preserve"> hospitacje </w:t>
      </w:r>
      <w:r>
        <w:rPr>
          <w:b/>
          <w:color w:val="000000"/>
        </w:rPr>
        <w:t>otrzymały  ocenę</w:t>
      </w:r>
      <w:r w:rsidR="00414D5C">
        <w:rPr>
          <w:b/>
          <w:color w:val="000000"/>
        </w:rPr>
        <w:t xml:space="preserve"> pozytywną.</w:t>
      </w:r>
      <w:r w:rsidR="00523A11" w:rsidRPr="006879FB">
        <w:rPr>
          <w:b/>
          <w:color w:val="000000"/>
        </w:rPr>
        <w:t xml:space="preserve">   </w:t>
      </w:r>
    </w:p>
    <w:p w:rsidR="00523A11" w:rsidRDefault="00523A11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/>
          <w:color w:val="000000"/>
        </w:rPr>
      </w:pPr>
      <w:r w:rsidRPr="002313FD">
        <w:rPr>
          <w:b/>
          <w:color w:val="000000"/>
        </w:rPr>
        <w:t>Monitorowanie ankietyzowania zajęć.</w:t>
      </w:r>
    </w:p>
    <w:p w:rsidR="00593CF6" w:rsidRPr="00760F23" w:rsidRDefault="006879FB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F3041A" w:rsidRPr="00760F23">
        <w:rPr>
          <w:color w:val="000000"/>
        </w:rPr>
        <w:t xml:space="preserve">W czasie trwania roku akademickiego prowadzono </w:t>
      </w:r>
      <w:r w:rsidR="00623B98" w:rsidRPr="00760F23">
        <w:t xml:space="preserve">zgodnie z ZW 9/2015 z dnia 12 marca br. </w:t>
      </w:r>
      <w:r w:rsidR="00593CF6" w:rsidRPr="00760F23">
        <w:t>ankietowe badanie opinii studentów o za</w:t>
      </w:r>
      <w:r w:rsidR="00593CF6" w:rsidRPr="00760F23">
        <w:softHyphen/>
        <w:t>jęciach dyda</w:t>
      </w:r>
      <w:r w:rsidR="00593CF6" w:rsidRPr="00760F23">
        <w:softHyphen/>
        <w:t xml:space="preserve">ktycznych prowadzonych w semestrze </w:t>
      </w:r>
      <w:r w:rsidR="00623B98" w:rsidRPr="00760F23">
        <w:t xml:space="preserve">letnim </w:t>
      </w:r>
      <w:r w:rsidR="00593CF6" w:rsidRPr="00760F23">
        <w:t>przez na</w:t>
      </w:r>
      <w:r w:rsidR="00593CF6" w:rsidRPr="00760F23">
        <w:softHyphen/>
        <w:t>uczy</w:t>
      </w:r>
      <w:r w:rsidR="00593CF6" w:rsidRPr="00760F23">
        <w:softHyphen/>
        <w:t>cieli akade</w:t>
      </w:r>
      <w:r w:rsidR="00593CF6" w:rsidRPr="00760F23">
        <w:softHyphen/>
        <w:t xml:space="preserve">mickich i doktorantów. </w:t>
      </w:r>
    </w:p>
    <w:p w:rsidR="00623B98" w:rsidRPr="00760F23" w:rsidRDefault="00623B98" w:rsidP="00623814">
      <w:pPr>
        <w:pStyle w:val="HTML-wstpniesformatowany"/>
        <w:spacing w:line="276" w:lineRule="auto"/>
        <w:rPr>
          <w:rFonts w:ascii="Arial" w:hAnsi="Arial" w:cs="Arial"/>
          <w:sz w:val="22"/>
          <w:szCs w:val="22"/>
        </w:rPr>
      </w:pPr>
      <w:r w:rsidRPr="00760F23">
        <w:rPr>
          <w:rFonts w:ascii="Arial" w:hAnsi="Arial" w:cs="Arial"/>
          <w:sz w:val="22"/>
          <w:szCs w:val="22"/>
        </w:rPr>
        <w:tab/>
      </w:r>
      <w:r w:rsidR="00760F23">
        <w:rPr>
          <w:rFonts w:ascii="Arial" w:hAnsi="Arial" w:cs="Arial"/>
          <w:sz w:val="22"/>
          <w:szCs w:val="22"/>
        </w:rPr>
        <w:t xml:space="preserve">Poniżej </w:t>
      </w:r>
      <w:r w:rsidRPr="00760F23">
        <w:rPr>
          <w:rFonts w:ascii="Arial" w:hAnsi="Arial" w:cs="Arial"/>
          <w:sz w:val="22"/>
          <w:szCs w:val="22"/>
        </w:rPr>
        <w:t>statystyczne podsumowanie przeprowa</w:t>
      </w:r>
      <w:r w:rsidR="00E1388A">
        <w:rPr>
          <w:rFonts w:ascii="Arial" w:hAnsi="Arial" w:cs="Arial"/>
          <w:sz w:val="22"/>
          <w:szCs w:val="22"/>
        </w:rPr>
        <w:t>dzonego w czerwcu 2016r.</w:t>
      </w:r>
      <w:r w:rsidRPr="00760F23">
        <w:rPr>
          <w:rFonts w:ascii="Arial" w:hAnsi="Arial" w:cs="Arial"/>
          <w:sz w:val="22"/>
          <w:szCs w:val="22"/>
        </w:rPr>
        <w:t xml:space="preserve">uczelnianego badania opinii studentów. </w:t>
      </w:r>
    </w:p>
    <w:p w:rsidR="00623814" w:rsidRDefault="00623814" w:rsidP="00623814">
      <w:pPr>
        <w:autoSpaceDE w:val="0"/>
        <w:autoSpaceDN w:val="0"/>
        <w:adjustRightInd w:val="0"/>
        <w:rPr>
          <w:color w:val="000000"/>
        </w:rPr>
      </w:pPr>
    </w:p>
    <w:p w:rsidR="00623814" w:rsidRPr="00E1388A" w:rsidRDefault="00623814" w:rsidP="00623B98">
      <w:pPr>
        <w:autoSpaceDE w:val="0"/>
        <w:autoSpaceDN w:val="0"/>
        <w:adjustRightInd w:val="0"/>
        <w:sectPr w:rsidR="00623814" w:rsidRPr="00E1388A" w:rsidSect="00623814">
          <w:footerReference w:type="default" r:id="rId12"/>
          <w:type w:val="continuous"/>
          <w:pgSz w:w="11906" w:h="17338"/>
          <w:pgMar w:top="1159" w:right="1558" w:bottom="1344" w:left="1701" w:header="708" w:footer="708" w:gutter="0"/>
          <w:cols w:space="708"/>
          <w:noEndnote/>
        </w:sectPr>
      </w:pPr>
      <w:r>
        <w:t xml:space="preserve">Zespół ds. Oceny Jakości Kształcenia na WA w najbliższym semestrze powinien przystąpić do analizy wyników indywidualnych ankiet i przedstawić prodziekanowi ds. Dydaktyki swoje wnioski. </w:t>
      </w:r>
      <w:r w:rsidRPr="003B0702">
        <w:tab/>
      </w:r>
    </w:p>
    <w:p w:rsidR="00623814" w:rsidRDefault="00623814" w:rsidP="00623B98">
      <w:pPr>
        <w:autoSpaceDE w:val="0"/>
        <w:autoSpaceDN w:val="0"/>
        <w:adjustRightInd w:val="0"/>
        <w:rPr>
          <w:color w:val="000000"/>
        </w:rPr>
      </w:pPr>
    </w:p>
    <w:p w:rsidR="00623814" w:rsidRDefault="00623814" w:rsidP="00623B98">
      <w:pPr>
        <w:autoSpaceDE w:val="0"/>
        <w:autoSpaceDN w:val="0"/>
        <w:adjustRightInd w:val="0"/>
        <w:rPr>
          <w:color w:val="000000"/>
        </w:rPr>
      </w:pPr>
    </w:p>
    <w:p w:rsidR="00623814" w:rsidRDefault="00623814" w:rsidP="00623814">
      <w:pPr>
        <w:autoSpaceDE w:val="0"/>
        <w:autoSpaceDN w:val="0"/>
        <w:adjustRightInd w:val="0"/>
        <w:rPr>
          <w:color w:val="000000"/>
        </w:rPr>
      </w:pPr>
      <w:r w:rsidRPr="00760F23">
        <w:rPr>
          <w:color w:val="000000"/>
        </w:rPr>
        <w:t>Wyniki ankietyzacji kursów zrealizowanych w sem. letnim</w:t>
      </w:r>
      <w:r>
        <w:rPr>
          <w:color w:val="000000"/>
        </w:rPr>
        <w:t xml:space="preserve"> r.</w:t>
      </w:r>
      <w:r w:rsidR="00E1388A">
        <w:rPr>
          <w:color w:val="000000"/>
        </w:rPr>
        <w:t xml:space="preserve"> </w:t>
      </w:r>
      <w:r>
        <w:rPr>
          <w:color w:val="000000"/>
        </w:rPr>
        <w:t>ak</w:t>
      </w:r>
      <w:r w:rsidR="00E1388A">
        <w:rPr>
          <w:color w:val="000000"/>
        </w:rPr>
        <w:t xml:space="preserve">ademicki </w:t>
      </w:r>
      <w:r>
        <w:rPr>
          <w:color w:val="000000"/>
        </w:rPr>
        <w:t xml:space="preserve">. </w:t>
      </w:r>
      <w:r w:rsidR="00B34033">
        <w:rPr>
          <w:color w:val="000000"/>
        </w:rPr>
        <w:t>2015/2016</w:t>
      </w:r>
      <w:r w:rsidR="00E1388A">
        <w:rPr>
          <w:color w:val="000000"/>
        </w:rPr>
        <w:t xml:space="preserve"> zamieszczono w poniższych</w:t>
      </w:r>
      <w:r>
        <w:rPr>
          <w:color w:val="000000"/>
        </w:rPr>
        <w:t xml:space="preserve"> tabel</w:t>
      </w:r>
      <w:r w:rsidR="00E1388A">
        <w:rPr>
          <w:color w:val="000000"/>
        </w:rPr>
        <w:t>ach</w:t>
      </w:r>
      <w:r>
        <w:rPr>
          <w:color w:val="000000"/>
        </w:rPr>
        <w:t>.</w:t>
      </w:r>
    </w:p>
    <w:p w:rsidR="00623814" w:rsidRDefault="00623814" w:rsidP="00623B98">
      <w:pPr>
        <w:autoSpaceDE w:val="0"/>
        <w:autoSpaceDN w:val="0"/>
        <w:adjustRightInd w:val="0"/>
        <w:rPr>
          <w:color w:val="000000"/>
        </w:rPr>
      </w:pPr>
    </w:p>
    <w:p w:rsidR="00623814" w:rsidRPr="00760F23" w:rsidRDefault="00623814" w:rsidP="00623B98">
      <w:pPr>
        <w:autoSpaceDE w:val="0"/>
        <w:autoSpaceDN w:val="0"/>
        <w:adjustRightInd w:val="0"/>
        <w:rPr>
          <w:color w:val="000000"/>
        </w:rPr>
      </w:pPr>
    </w:p>
    <w:p w:rsidR="00E1388A" w:rsidRPr="00F40861" w:rsidRDefault="00E1388A" w:rsidP="00E1388A">
      <w:pPr>
        <w:ind w:left="1874" w:hanging="10"/>
        <w:rPr>
          <w:sz w:val="18"/>
          <w:szCs w:val="18"/>
        </w:rPr>
      </w:pPr>
      <w:r w:rsidRPr="00F40861">
        <w:rPr>
          <w:rFonts w:eastAsia="Calibri"/>
          <w:b/>
          <w:sz w:val="18"/>
          <w:szCs w:val="18"/>
        </w:rPr>
        <w:t xml:space="preserve">Statystyczne opracowanie ankietowego badania opinii studentów o zajęciach dydaktycznych semestru zimowego 2015/2016  </w:t>
      </w:r>
    </w:p>
    <w:tbl>
      <w:tblPr>
        <w:tblStyle w:val="TableGrid"/>
        <w:tblW w:w="14110" w:type="dxa"/>
        <w:tblInd w:w="-5" w:type="dxa"/>
        <w:tblCellMar>
          <w:top w:w="8" w:type="dxa"/>
          <w:right w:w="8" w:type="dxa"/>
        </w:tblCellMar>
        <w:tblLook w:val="04A0" w:firstRow="1" w:lastRow="0" w:firstColumn="1" w:lastColumn="0" w:noHBand="0" w:noVBand="1"/>
      </w:tblPr>
      <w:tblGrid>
        <w:gridCol w:w="1805"/>
        <w:gridCol w:w="1556"/>
        <w:gridCol w:w="1560"/>
        <w:gridCol w:w="1138"/>
        <w:gridCol w:w="825"/>
        <w:gridCol w:w="1133"/>
        <w:gridCol w:w="1241"/>
        <w:gridCol w:w="1214"/>
        <w:gridCol w:w="1395"/>
        <w:gridCol w:w="1132"/>
        <w:gridCol w:w="1111"/>
      </w:tblGrid>
      <w:tr w:rsidR="00E1388A" w:rsidRPr="00F40861" w:rsidTr="009149FA">
        <w:trPr>
          <w:trHeight w:val="195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Jednostka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Liczba dostępnych studentom e-</w:t>
            </w:r>
          </w:p>
          <w:p w:rsidR="00E1388A" w:rsidRPr="00F40861" w:rsidRDefault="00E1388A" w:rsidP="0048410F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kwestionariuszy </w:t>
            </w:r>
          </w:p>
          <w:p w:rsidR="00E1388A" w:rsidRPr="00F40861" w:rsidRDefault="00E1388A" w:rsidP="0048410F">
            <w:pPr>
              <w:ind w:left="134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dotyczących zajęć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zorga-nizowanych przez jednostkę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spacing w:line="23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Liczba wypełnionych e-kwestionariuszy do-</w:t>
            </w:r>
          </w:p>
          <w:p w:rsidR="00E1388A" w:rsidRPr="00F40861" w:rsidRDefault="00E1388A" w:rsidP="0048410F">
            <w:pPr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tyczących zajęć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zorganizowanych przez jednostkę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Procentowy udział wy-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pełnionych e-kwestio- nariuszy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W tym miaro-</w:t>
            </w:r>
          </w:p>
          <w:p w:rsidR="00E1388A" w:rsidRPr="00F40861" w:rsidRDefault="00E1388A" w:rsidP="0048410F">
            <w:pPr>
              <w:ind w:left="11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dajnych e-kwestio- nariuszy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Procentowy udział miarodajnych e-kwes-</w:t>
            </w:r>
          </w:p>
          <w:p w:rsidR="00E1388A" w:rsidRPr="00F40861" w:rsidRDefault="00E1388A" w:rsidP="0048410F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tionariuszy </w:t>
            </w:r>
          </w:p>
          <w:p w:rsidR="00E1388A" w:rsidRPr="00F40861" w:rsidRDefault="00E1388A" w:rsidP="0048410F">
            <w:pPr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spacing w:line="238" w:lineRule="auto"/>
              <w:ind w:left="50" w:right="40" w:firstLine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uprawnionych do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ankietyzowania zajęć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spacing w:line="23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studentów, którzy </w:t>
            </w:r>
          </w:p>
          <w:p w:rsidR="00E1388A" w:rsidRPr="00F40861" w:rsidRDefault="00E1388A" w:rsidP="0048410F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wypełnili co najmniej 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jeden e-kwestionariusz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spacing w:after="2" w:line="238" w:lineRule="auto"/>
              <w:ind w:left="58"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Procentowy udział stu-</w:t>
            </w:r>
          </w:p>
          <w:p w:rsidR="00E1388A" w:rsidRPr="00F40861" w:rsidRDefault="00E1388A" w:rsidP="0048410F">
            <w:pPr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dentów, którzy </w:t>
            </w:r>
          </w:p>
          <w:p w:rsidR="00E1388A" w:rsidRPr="00F40861" w:rsidRDefault="00E1388A" w:rsidP="0048410F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wypełnili co najmniej 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jeden e-kwestionariusz 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spacing w:after="2" w:line="238" w:lineRule="auto"/>
              <w:ind w:lef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kursów,      </w:t>
            </w:r>
          </w:p>
          <w:p w:rsidR="00E1388A" w:rsidRPr="00F40861" w:rsidRDefault="00E1388A" w:rsidP="0048410F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o których </w:t>
            </w:r>
          </w:p>
          <w:p w:rsidR="00E1388A" w:rsidRPr="00F40861" w:rsidRDefault="00E1388A" w:rsidP="0048410F">
            <w:pPr>
              <w:spacing w:line="238" w:lineRule="auto"/>
              <w:ind w:left="9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wypowiedzieli się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studenci (po kodzie kursu)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</w:t>
            </w:r>
          </w:p>
          <w:p w:rsidR="00E1388A" w:rsidRPr="00F40861" w:rsidRDefault="00E1388A" w:rsidP="0048410F">
            <w:pPr>
              <w:ind w:right="2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kursów,    </w:t>
            </w:r>
          </w:p>
          <w:p w:rsidR="00E1388A" w:rsidRPr="00F40861" w:rsidRDefault="00E1388A" w:rsidP="0048410F">
            <w:pPr>
              <w:ind w:left="-7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1388A" w:rsidRPr="00F40861" w:rsidRDefault="00E1388A" w:rsidP="0048410F">
            <w:pPr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o których </w:t>
            </w:r>
          </w:p>
          <w:p w:rsidR="00E1388A" w:rsidRPr="00F40861" w:rsidRDefault="00E1388A" w:rsidP="0048410F">
            <w:pPr>
              <w:spacing w:after="2" w:line="238" w:lineRule="auto"/>
              <w:ind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wypowiedzieli się studenci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(po nazwie kursu) </w:t>
            </w:r>
          </w:p>
        </w:tc>
      </w:tr>
      <w:tr w:rsidR="00E1388A" w:rsidRPr="00F40861" w:rsidTr="009149FA">
        <w:trPr>
          <w:trHeight w:val="25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Wydział Architektury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16 603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5 318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32,03%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4 827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90,77%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1 509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611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40,49%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245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172 </w:t>
            </w:r>
          </w:p>
        </w:tc>
      </w:tr>
      <w:tr w:rsidR="00E1388A" w:rsidRPr="00F40861" w:rsidTr="009149FA">
        <w:trPr>
          <w:trHeight w:val="42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Politechnika Wrocławska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413 073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42 993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10,41%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38 637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89,87%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32 613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6 935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21,26%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5 510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2 528 </w:t>
            </w:r>
          </w:p>
        </w:tc>
      </w:tr>
    </w:tbl>
    <w:p w:rsidR="00E1388A" w:rsidRPr="00F40861" w:rsidRDefault="00E1388A" w:rsidP="00E1388A">
      <w:pPr>
        <w:tabs>
          <w:tab w:val="center" w:pos="708"/>
          <w:tab w:val="center" w:pos="2224"/>
        </w:tabs>
        <w:spacing w:after="140"/>
        <w:rPr>
          <w:sz w:val="18"/>
          <w:szCs w:val="18"/>
        </w:rPr>
      </w:pPr>
      <w:r w:rsidRPr="00F40861">
        <w:rPr>
          <w:rFonts w:eastAsia="Times New Roman"/>
          <w:sz w:val="18"/>
          <w:szCs w:val="18"/>
        </w:rPr>
        <w:t xml:space="preserve"> </w:t>
      </w:r>
      <w:r w:rsidRPr="00F40861">
        <w:rPr>
          <w:rFonts w:eastAsia="Times New Roman"/>
          <w:sz w:val="18"/>
          <w:szCs w:val="18"/>
        </w:rPr>
        <w:tab/>
        <w:t xml:space="preserve"> </w:t>
      </w:r>
      <w:r w:rsidRPr="00F40861">
        <w:rPr>
          <w:rFonts w:eastAsia="Times New Roman"/>
          <w:sz w:val="18"/>
          <w:szCs w:val="18"/>
        </w:rPr>
        <w:tab/>
        <w:t xml:space="preserve">b.d. – brak danych </w:t>
      </w:r>
    </w:p>
    <w:p w:rsidR="00E1388A" w:rsidRPr="00F40861" w:rsidRDefault="00E1388A" w:rsidP="00E1388A">
      <w:pPr>
        <w:pStyle w:val="Nagwek1"/>
        <w:ind w:right="2748"/>
        <w:jc w:val="center"/>
        <w:rPr>
          <w:rFonts w:ascii="Arial" w:hAnsi="Arial" w:cs="Arial"/>
          <w:sz w:val="18"/>
          <w:szCs w:val="18"/>
        </w:rPr>
      </w:pPr>
      <w:r w:rsidRPr="00F40861">
        <w:rPr>
          <w:rFonts w:ascii="Arial" w:hAnsi="Arial" w:cs="Arial"/>
          <w:sz w:val="18"/>
          <w:szCs w:val="18"/>
        </w:rPr>
        <w:t xml:space="preserve">Wyniki ankietyzacji kursów z semestru zimowego 2015/2016 w ujęciu procentowym  </w:t>
      </w:r>
    </w:p>
    <w:tbl>
      <w:tblPr>
        <w:tblStyle w:val="TableGrid"/>
        <w:tblW w:w="15165" w:type="dxa"/>
        <w:tblInd w:w="-289" w:type="dxa"/>
        <w:tblCellMar>
          <w:top w:w="3" w:type="dxa"/>
          <w:left w:w="79" w:type="dxa"/>
          <w:right w:w="34" w:type="dxa"/>
        </w:tblCellMar>
        <w:tblLook w:val="04A0" w:firstRow="1" w:lastRow="0" w:firstColumn="1" w:lastColumn="0" w:noHBand="0" w:noVBand="1"/>
      </w:tblPr>
      <w:tblGrid>
        <w:gridCol w:w="2072"/>
        <w:gridCol w:w="702"/>
        <w:gridCol w:w="1069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E1388A" w:rsidRPr="00F40861" w:rsidTr="009149FA">
        <w:trPr>
          <w:trHeight w:val="195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Jednostka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Liczba stu-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dentów  </w:t>
            </w:r>
          </w:p>
          <w:p w:rsidR="00E1388A" w:rsidRPr="00F40861" w:rsidRDefault="00E1388A" w:rsidP="0048410F">
            <w:pPr>
              <w:spacing w:after="2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z wypeł-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nioną jedną ankietą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Procentowy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udział liczby </w:t>
            </w:r>
          </w:p>
          <w:p w:rsidR="00E1388A" w:rsidRPr="00F40861" w:rsidRDefault="00E1388A" w:rsidP="0048410F">
            <w:pPr>
              <w:spacing w:after="2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studentów, którzy 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wypełnili do 10%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10% do 20%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20% do 30%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left="24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30% do 40%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40% do 50%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left="24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50% do 60%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60% do 70%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left="24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70% do 80%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left="24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80% do 90%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</w:t>
            </w:r>
          </w:p>
          <w:p w:rsidR="00E1388A" w:rsidRPr="00F40861" w:rsidRDefault="00E1388A" w:rsidP="0048410F">
            <w:pPr>
              <w:spacing w:after="2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90% do </w:t>
            </w:r>
          </w:p>
          <w:p w:rsidR="00E1388A" w:rsidRPr="00F40861" w:rsidRDefault="00E1388A" w:rsidP="0048410F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100% </w:t>
            </w:r>
          </w:p>
        </w:tc>
      </w:tr>
      <w:tr w:rsidR="00E1388A" w:rsidRPr="00F40861" w:rsidTr="009149FA">
        <w:trPr>
          <w:trHeight w:val="42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Wydział Architektury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79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375 </w:t>
            </w:r>
          </w:p>
        </w:tc>
      </w:tr>
      <w:tr w:rsidR="00E1388A" w:rsidRPr="00F40861" w:rsidTr="009149FA">
        <w:trPr>
          <w:trHeight w:val="49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Politechnika Wrocławska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1906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69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1097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536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413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270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165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151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130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2117 </w:t>
            </w:r>
          </w:p>
        </w:tc>
      </w:tr>
    </w:tbl>
    <w:p w:rsidR="00E1388A" w:rsidRPr="00F40861" w:rsidRDefault="00E1388A" w:rsidP="00E1388A">
      <w:pPr>
        <w:ind w:left="7567"/>
        <w:rPr>
          <w:sz w:val="18"/>
          <w:szCs w:val="18"/>
        </w:rPr>
      </w:pPr>
    </w:p>
    <w:p w:rsidR="00E1388A" w:rsidRPr="00F40861" w:rsidRDefault="00E1388A" w:rsidP="00E1388A">
      <w:pPr>
        <w:ind w:left="7567"/>
        <w:rPr>
          <w:sz w:val="18"/>
          <w:szCs w:val="18"/>
        </w:rPr>
      </w:pPr>
    </w:p>
    <w:p w:rsidR="00E1388A" w:rsidRPr="00F40861" w:rsidRDefault="00E1388A" w:rsidP="00E1388A">
      <w:pPr>
        <w:ind w:left="7567"/>
        <w:rPr>
          <w:sz w:val="18"/>
          <w:szCs w:val="18"/>
        </w:rPr>
      </w:pPr>
    </w:p>
    <w:p w:rsidR="00E1388A" w:rsidRPr="00F40861" w:rsidRDefault="00E1388A" w:rsidP="00E1388A">
      <w:pPr>
        <w:ind w:left="7567"/>
        <w:rPr>
          <w:sz w:val="18"/>
          <w:szCs w:val="18"/>
        </w:rPr>
      </w:pPr>
    </w:p>
    <w:p w:rsidR="00E1388A" w:rsidRPr="00F40861" w:rsidRDefault="00E1388A" w:rsidP="00E1388A">
      <w:pPr>
        <w:ind w:left="7567"/>
        <w:rPr>
          <w:sz w:val="18"/>
          <w:szCs w:val="18"/>
        </w:rPr>
      </w:pPr>
    </w:p>
    <w:p w:rsidR="00E1388A" w:rsidRPr="00F40861" w:rsidRDefault="00E1388A" w:rsidP="00E1388A">
      <w:pPr>
        <w:ind w:left="7567"/>
        <w:rPr>
          <w:sz w:val="18"/>
          <w:szCs w:val="18"/>
        </w:rPr>
      </w:pPr>
    </w:p>
    <w:p w:rsidR="00E1388A" w:rsidRDefault="00E1388A" w:rsidP="00E1388A">
      <w:pPr>
        <w:ind w:left="7567"/>
        <w:rPr>
          <w:sz w:val="18"/>
          <w:szCs w:val="18"/>
        </w:rPr>
      </w:pPr>
    </w:p>
    <w:p w:rsidR="00E1388A" w:rsidRDefault="00E1388A" w:rsidP="00E1388A">
      <w:pPr>
        <w:ind w:left="7567"/>
        <w:rPr>
          <w:sz w:val="18"/>
          <w:szCs w:val="18"/>
        </w:rPr>
      </w:pPr>
    </w:p>
    <w:p w:rsidR="00E1388A" w:rsidRDefault="00E1388A" w:rsidP="00E1388A">
      <w:pPr>
        <w:ind w:left="7567"/>
        <w:rPr>
          <w:sz w:val="18"/>
          <w:szCs w:val="18"/>
        </w:rPr>
      </w:pPr>
    </w:p>
    <w:p w:rsidR="00E1388A" w:rsidRPr="00F40861" w:rsidRDefault="00E1388A" w:rsidP="00E1388A">
      <w:pPr>
        <w:ind w:left="7567"/>
        <w:rPr>
          <w:sz w:val="18"/>
          <w:szCs w:val="18"/>
        </w:rPr>
      </w:pPr>
    </w:p>
    <w:p w:rsidR="00E1388A" w:rsidRPr="00F40861" w:rsidRDefault="00E1388A" w:rsidP="00E1388A">
      <w:pPr>
        <w:ind w:left="7567"/>
        <w:rPr>
          <w:sz w:val="18"/>
          <w:szCs w:val="18"/>
        </w:rPr>
      </w:pPr>
    </w:p>
    <w:p w:rsidR="00E1388A" w:rsidRPr="00F40861" w:rsidRDefault="00E1388A" w:rsidP="00E1388A">
      <w:pPr>
        <w:ind w:left="7567"/>
        <w:rPr>
          <w:sz w:val="18"/>
          <w:szCs w:val="18"/>
        </w:rPr>
      </w:pPr>
    </w:p>
    <w:p w:rsidR="00E1388A" w:rsidRPr="00F40861" w:rsidRDefault="00E1388A" w:rsidP="00E1388A">
      <w:pPr>
        <w:ind w:left="7567"/>
        <w:rPr>
          <w:sz w:val="18"/>
          <w:szCs w:val="18"/>
        </w:rPr>
      </w:pPr>
      <w:r w:rsidRPr="00F40861">
        <w:rPr>
          <w:rFonts w:eastAsia="Calibri"/>
          <w:sz w:val="18"/>
          <w:szCs w:val="18"/>
        </w:rPr>
        <w:t xml:space="preserve"> </w:t>
      </w:r>
    </w:p>
    <w:p w:rsidR="00E1388A" w:rsidRPr="00F40861" w:rsidRDefault="00E1388A" w:rsidP="00E1388A">
      <w:pPr>
        <w:ind w:left="1985" w:hanging="10"/>
        <w:jc w:val="left"/>
        <w:rPr>
          <w:sz w:val="18"/>
          <w:szCs w:val="18"/>
        </w:rPr>
      </w:pPr>
      <w:r w:rsidRPr="00F40861">
        <w:rPr>
          <w:rFonts w:eastAsia="Calibri"/>
          <w:b/>
          <w:sz w:val="18"/>
          <w:szCs w:val="18"/>
        </w:rPr>
        <w:t xml:space="preserve">Statystyczne opracowanie ankietowego badania opinii studentów o zajęciach dydaktycznych semestru letniego 2015/2016  </w:t>
      </w:r>
    </w:p>
    <w:tbl>
      <w:tblPr>
        <w:tblStyle w:val="TableGrid"/>
        <w:tblW w:w="14249" w:type="dxa"/>
        <w:tblInd w:w="492" w:type="dxa"/>
        <w:tblCellMar>
          <w:top w:w="10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1249"/>
        <w:gridCol w:w="1042"/>
        <w:gridCol w:w="361"/>
        <w:gridCol w:w="952"/>
        <w:gridCol w:w="451"/>
        <w:gridCol w:w="846"/>
        <w:gridCol w:w="557"/>
        <w:gridCol w:w="760"/>
        <w:gridCol w:w="732"/>
        <w:gridCol w:w="444"/>
        <w:gridCol w:w="780"/>
        <w:gridCol w:w="432"/>
        <w:gridCol w:w="885"/>
        <w:gridCol w:w="413"/>
        <w:gridCol w:w="899"/>
        <w:gridCol w:w="383"/>
        <w:gridCol w:w="676"/>
        <w:gridCol w:w="165"/>
        <w:gridCol w:w="1113"/>
        <w:gridCol w:w="44"/>
        <w:gridCol w:w="1065"/>
      </w:tblGrid>
      <w:tr w:rsidR="00E1388A" w:rsidRPr="00F40861" w:rsidTr="0048410F">
        <w:trPr>
          <w:trHeight w:val="231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Jednostka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spacing w:after="2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dostępnych </w:t>
            </w:r>
          </w:p>
          <w:p w:rsidR="00E1388A" w:rsidRPr="00F40861" w:rsidRDefault="00E1388A" w:rsidP="0048410F">
            <w:pPr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studentom e-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kwestionariuszy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dotyczących zając </w:t>
            </w:r>
          </w:p>
          <w:p w:rsidR="00E1388A" w:rsidRPr="00F40861" w:rsidRDefault="00E1388A" w:rsidP="0048410F">
            <w:pPr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zorganizo-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wanych przez jednostkę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spacing w:after="2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wypełnionych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e-kwestionariuszy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dotyczących zajęć </w:t>
            </w:r>
          </w:p>
          <w:p w:rsidR="00E1388A" w:rsidRPr="00F40861" w:rsidRDefault="00E1388A" w:rsidP="0048410F">
            <w:pPr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zorganizo-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wanych przez jednostkę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Procentowy udział </w:t>
            </w:r>
          </w:p>
          <w:p w:rsidR="00E1388A" w:rsidRPr="00F40861" w:rsidRDefault="00E1388A" w:rsidP="0048410F">
            <w:pPr>
              <w:ind w:left="50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uzupełnionych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e-kwestionariuszy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 tym ekwestionariuszy </w:t>
            </w:r>
          </w:p>
          <w:p w:rsidR="00E1388A" w:rsidRPr="00F40861" w:rsidRDefault="00E1388A" w:rsidP="0048410F">
            <w:pPr>
              <w:ind w:left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miarodajnych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Procentowy udział </w:t>
            </w:r>
          </w:p>
          <w:p w:rsidR="00E1388A" w:rsidRPr="00F40861" w:rsidRDefault="00E1388A" w:rsidP="0048410F">
            <w:pPr>
              <w:ind w:left="19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miarodajnych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słuchaczy </w:t>
            </w:r>
          </w:p>
          <w:p w:rsidR="00E1388A" w:rsidRPr="00F40861" w:rsidRDefault="00E1388A" w:rsidP="0048410F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uprawnionych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do ankietyzacji zajęć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słuchaczy, którzy </w:t>
            </w:r>
          </w:p>
          <w:p w:rsidR="00E1388A" w:rsidRPr="00F40861" w:rsidRDefault="00E1388A" w:rsidP="0048410F">
            <w:pPr>
              <w:ind w:righ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wypełnili co </w:t>
            </w:r>
          </w:p>
          <w:p w:rsidR="00E1388A" w:rsidRPr="00F40861" w:rsidRDefault="00E1388A" w:rsidP="0048410F">
            <w:pPr>
              <w:ind w:left="6"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najmniej jeden e-kwestionariusz   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left="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Procentowy udział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kursów o których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wypowiedzieli się </w:t>
            </w:r>
          </w:p>
          <w:p w:rsidR="00E1388A" w:rsidRPr="00F40861" w:rsidRDefault="00E1388A" w:rsidP="0048410F">
            <w:pPr>
              <w:ind w:left="84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respondenci </w:t>
            </w:r>
          </w:p>
          <w:p w:rsidR="00E1388A" w:rsidRPr="00F40861" w:rsidRDefault="00E1388A" w:rsidP="0048410F">
            <w:pPr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(po kodzie)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kursów o których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wypowiedzi eli się </w:t>
            </w:r>
          </w:p>
          <w:p w:rsidR="00E1388A" w:rsidRPr="00F40861" w:rsidRDefault="00E1388A" w:rsidP="0048410F">
            <w:pPr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respondenci </w:t>
            </w:r>
          </w:p>
          <w:p w:rsidR="00E1388A" w:rsidRPr="00F40861" w:rsidRDefault="00E1388A" w:rsidP="0048410F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(po nazwie) </w:t>
            </w:r>
          </w:p>
        </w:tc>
      </w:tr>
      <w:tr w:rsidR="00E1388A" w:rsidRPr="00F40861" w:rsidTr="0048410F">
        <w:trPr>
          <w:trHeight w:val="53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Wydział </w:t>
            </w:r>
          </w:p>
          <w:p w:rsidR="00E1388A" w:rsidRPr="00F40861" w:rsidRDefault="00E1388A" w:rsidP="0048410F">
            <w:pPr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Architektury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16305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3606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22,12%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3279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90,93%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1585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479 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left="48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30,22%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266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182 </w:t>
            </w:r>
          </w:p>
        </w:tc>
      </w:tr>
      <w:tr w:rsidR="00E1388A" w:rsidRPr="00F40861" w:rsidTr="0048410F">
        <w:tblPrEx>
          <w:tblCellMar>
            <w:top w:w="5" w:type="dxa"/>
            <w:right w:w="53" w:type="dxa"/>
          </w:tblCellMar>
        </w:tblPrEx>
        <w:trPr>
          <w:trHeight w:val="540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Politechnika Wrocławska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388020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28477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7,34% 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25752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90,43%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29634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4605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left="48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15,54%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5812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2710 </w:t>
            </w:r>
          </w:p>
        </w:tc>
      </w:tr>
    </w:tbl>
    <w:p w:rsidR="00E1388A" w:rsidRPr="00F40861" w:rsidRDefault="00E1388A" w:rsidP="00E1388A">
      <w:pPr>
        <w:spacing w:after="137"/>
        <w:rPr>
          <w:sz w:val="18"/>
          <w:szCs w:val="18"/>
        </w:rPr>
      </w:pPr>
      <w:r w:rsidRPr="00F40861">
        <w:rPr>
          <w:rFonts w:eastAsia="Times New Roman"/>
          <w:sz w:val="18"/>
          <w:szCs w:val="18"/>
        </w:rPr>
        <w:t xml:space="preserve"> </w:t>
      </w:r>
    </w:p>
    <w:p w:rsidR="00E1388A" w:rsidRPr="00F40861" w:rsidRDefault="00E1388A" w:rsidP="00E1388A">
      <w:pPr>
        <w:pStyle w:val="Nagwek1"/>
        <w:ind w:right="2748"/>
        <w:rPr>
          <w:rFonts w:ascii="Arial" w:hAnsi="Arial" w:cs="Arial"/>
          <w:sz w:val="18"/>
          <w:szCs w:val="18"/>
        </w:rPr>
      </w:pPr>
      <w:r w:rsidRPr="00F40861">
        <w:rPr>
          <w:rFonts w:ascii="Arial" w:hAnsi="Arial" w:cs="Arial"/>
          <w:sz w:val="18"/>
          <w:szCs w:val="18"/>
        </w:rPr>
        <w:t xml:space="preserve">Wyniki ankietyzacji kursów z semestru zimowego 2015/2016 w ujęciu procentowym  </w:t>
      </w:r>
    </w:p>
    <w:tbl>
      <w:tblPr>
        <w:tblStyle w:val="TableGrid"/>
        <w:tblW w:w="14249" w:type="dxa"/>
        <w:tblInd w:w="492" w:type="dxa"/>
        <w:tblCellMar>
          <w:top w:w="3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1064"/>
        <w:gridCol w:w="1070"/>
        <w:gridCol w:w="1233"/>
        <w:gridCol w:w="1233"/>
        <w:gridCol w:w="1233"/>
        <w:gridCol w:w="1233"/>
        <w:gridCol w:w="1233"/>
        <w:gridCol w:w="1004"/>
        <w:gridCol w:w="1233"/>
        <w:gridCol w:w="1233"/>
        <w:gridCol w:w="1238"/>
        <w:gridCol w:w="1242"/>
      </w:tblGrid>
      <w:tr w:rsidR="00E1388A" w:rsidRPr="00F40861" w:rsidTr="0048410F">
        <w:trPr>
          <w:trHeight w:val="18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Jednostka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uzupełnioną 1 ankietą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spacing w:after="1" w:line="239" w:lineRule="auto"/>
              <w:ind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uzupełnionym </w:t>
            </w:r>
          </w:p>
          <w:p w:rsidR="00E1388A" w:rsidRPr="00F40861" w:rsidRDefault="00E1388A" w:rsidP="0048410F">
            <w:pPr>
              <w:ind w:left="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</w:t>
            </w:r>
          </w:p>
          <w:p w:rsidR="00E1388A" w:rsidRPr="00F40861" w:rsidRDefault="00E1388A" w:rsidP="0048410F">
            <w:pPr>
              <w:ind w:left="58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ankiet do </w:t>
            </w:r>
          </w:p>
          <w:p w:rsidR="00E1388A" w:rsidRPr="00F40861" w:rsidRDefault="00E1388A" w:rsidP="0048410F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10%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spacing w:after="1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procentem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ankiet od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10% do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20%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firstLin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uzupełnionym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</w:t>
            </w:r>
          </w:p>
          <w:p w:rsidR="00E1388A" w:rsidRPr="00F40861" w:rsidRDefault="00E1388A" w:rsidP="0048410F">
            <w:pPr>
              <w:ind w:left="118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20% do </w:t>
            </w:r>
          </w:p>
          <w:p w:rsidR="00E1388A" w:rsidRPr="00F40861" w:rsidRDefault="00E1388A" w:rsidP="0048410F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30%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spacing w:after="1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procentem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ankiet od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30% do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40%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spacing w:after="1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procentem </w:t>
            </w:r>
          </w:p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ankiet od </w:t>
            </w:r>
          </w:p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40% do </w:t>
            </w:r>
          </w:p>
          <w:p w:rsidR="00E1388A" w:rsidRPr="00F40861" w:rsidRDefault="00E1388A" w:rsidP="0048410F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50%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uzupełnio-</w:t>
            </w:r>
          </w:p>
          <w:p w:rsidR="00E1388A" w:rsidRPr="00F40861" w:rsidRDefault="00E1388A" w:rsidP="0048410F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>nym pro-</w:t>
            </w:r>
          </w:p>
          <w:p w:rsidR="00E1388A" w:rsidRPr="00F40861" w:rsidRDefault="00E1388A" w:rsidP="0048410F">
            <w:pPr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centem ankiet </w:t>
            </w:r>
          </w:p>
          <w:p w:rsidR="00E1388A" w:rsidRPr="00F40861" w:rsidRDefault="00E1388A" w:rsidP="0048410F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od 50% do </w:t>
            </w:r>
          </w:p>
          <w:p w:rsidR="00E1388A" w:rsidRPr="00F40861" w:rsidRDefault="00E1388A" w:rsidP="0048410F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60%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spacing w:after="1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procentem </w:t>
            </w:r>
          </w:p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ankiet od </w:t>
            </w:r>
          </w:p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60% do </w:t>
            </w:r>
          </w:p>
          <w:p w:rsidR="00E1388A" w:rsidRPr="00F40861" w:rsidRDefault="00E1388A" w:rsidP="0048410F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70%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spacing w:after="1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procentem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ankiet od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70% do </w:t>
            </w:r>
          </w:p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</w:t>
            </w:r>
          </w:p>
          <w:p w:rsidR="00E1388A" w:rsidRPr="00F40861" w:rsidRDefault="00E1388A" w:rsidP="0048410F">
            <w:pPr>
              <w:spacing w:after="2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uzupełnionym procentem </w:t>
            </w:r>
          </w:p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ankiet od 80% do 90%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Liczba studentów z uzupełnionym </w:t>
            </w:r>
          </w:p>
          <w:p w:rsidR="00E1388A" w:rsidRPr="00F40861" w:rsidRDefault="00E1388A" w:rsidP="0048410F">
            <w:pPr>
              <w:ind w:left="17" w:firstLine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procentem ankiet od 90% do 100% </w:t>
            </w:r>
          </w:p>
        </w:tc>
      </w:tr>
      <w:tr w:rsidR="00E1388A" w:rsidRPr="00F40861" w:rsidTr="0048410F">
        <w:trPr>
          <w:trHeight w:val="42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Wydział </w:t>
            </w:r>
          </w:p>
          <w:p w:rsidR="00E1388A" w:rsidRPr="00F40861" w:rsidRDefault="00E1388A" w:rsidP="0048410F">
            <w:pPr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Architektury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85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50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217 </w:t>
            </w:r>
          </w:p>
        </w:tc>
      </w:tr>
      <w:tr w:rsidR="00E1388A" w:rsidRPr="00F40861" w:rsidTr="0048410F">
        <w:trPr>
          <w:trHeight w:val="49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8A" w:rsidRPr="00F40861" w:rsidRDefault="00E1388A" w:rsidP="0048410F">
            <w:pPr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Politechnika Wrocławska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1331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80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683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391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311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203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109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106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8A" w:rsidRPr="00F40861" w:rsidRDefault="00E1388A" w:rsidP="0048410F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61">
              <w:rPr>
                <w:rFonts w:ascii="Arial" w:eastAsia="Times New Roman" w:hAnsi="Arial" w:cs="Arial"/>
                <w:sz w:val="18"/>
                <w:szCs w:val="18"/>
              </w:rPr>
              <w:t xml:space="preserve">1207 </w:t>
            </w:r>
          </w:p>
        </w:tc>
      </w:tr>
    </w:tbl>
    <w:p w:rsidR="00E1388A" w:rsidRPr="00F40861" w:rsidRDefault="00E1388A" w:rsidP="00E1388A">
      <w:pPr>
        <w:spacing w:after="216"/>
        <w:ind w:left="566"/>
        <w:rPr>
          <w:sz w:val="18"/>
          <w:szCs w:val="18"/>
        </w:rPr>
      </w:pPr>
      <w:r w:rsidRPr="00F40861">
        <w:rPr>
          <w:rFonts w:eastAsia="Times New Roman"/>
          <w:sz w:val="18"/>
          <w:szCs w:val="18"/>
        </w:rPr>
        <w:t xml:space="preserve"> </w:t>
      </w:r>
    </w:p>
    <w:p w:rsidR="00E1388A" w:rsidRPr="00F40861" w:rsidRDefault="00E1388A" w:rsidP="00E1388A">
      <w:pPr>
        <w:ind w:right="47"/>
        <w:jc w:val="right"/>
        <w:rPr>
          <w:sz w:val="18"/>
          <w:szCs w:val="18"/>
        </w:rPr>
      </w:pPr>
      <w:r w:rsidRPr="00F40861">
        <w:rPr>
          <w:rFonts w:eastAsia="Times New Roman"/>
          <w:sz w:val="18"/>
          <w:szCs w:val="18"/>
        </w:rPr>
        <w:t xml:space="preserve">Źródło danych JSOS  </w:t>
      </w:r>
    </w:p>
    <w:p w:rsidR="00623814" w:rsidRDefault="00623814" w:rsidP="00593CF6">
      <w:pPr>
        <w:autoSpaceDE w:val="0"/>
        <w:autoSpaceDN w:val="0"/>
        <w:adjustRightInd w:val="0"/>
      </w:pPr>
    </w:p>
    <w:p w:rsidR="00623814" w:rsidRDefault="00623814" w:rsidP="00593CF6">
      <w:pPr>
        <w:autoSpaceDE w:val="0"/>
        <w:autoSpaceDN w:val="0"/>
        <w:adjustRightInd w:val="0"/>
      </w:pPr>
    </w:p>
    <w:p w:rsidR="00623814" w:rsidRDefault="00623814" w:rsidP="00593CF6">
      <w:pPr>
        <w:autoSpaceDE w:val="0"/>
        <w:autoSpaceDN w:val="0"/>
        <w:adjustRightInd w:val="0"/>
        <w:sectPr w:rsidR="00623814" w:rsidSect="00623814">
          <w:type w:val="continuous"/>
          <w:pgSz w:w="17338" w:h="11906" w:orient="landscape"/>
          <w:pgMar w:top="1185" w:right="1157" w:bottom="442" w:left="1860" w:header="709" w:footer="709" w:gutter="0"/>
          <w:cols w:space="708"/>
          <w:noEndnote/>
        </w:sectPr>
      </w:pPr>
    </w:p>
    <w:p w:rsidR="00593CF6" w:rsidRPr="009149FA" w:rsidRDefault="00593CF6" w:rsidP="009149FA">
      <w:pPr>
        <w:autoSpaceDE w:val="0"/>
        <w:autoSpaceDN w:val="0"/>
        <w:adjustRightInd w:val="0"/>
      </w:pP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right="-1"/>
        <w:rPr>
          <w:b/>
          <w:color w:val="000000"/>
        </w:rPr>
      </w:pPr>
      <w:r w:rsidRPr="002313FD">
        <w:rPr>
          <w:b/>
          <w:color w:val="000000"/>
        </w:rPr>
        <w:t xml:space="preserve"> </w:t>
      </w:r>
      <w:r w:rsidR="00B9109D">
        <w:rPr>
          <w:b/>
          <w:color w:val="000000"/>
        </w:rPr>
        <w:t xml:space="preserve">Udział w </w:t>
      </w:r>
      <w:r w:rsidRPr="002313FD">
        <w:rPr>
          <w:b/>
          <w:color w:val="000000"/>
        </w:rPr>
        <w:t xml:space="preserve"> wydziałowych narad</w:t>
      </w:r>
      <w:r w:rsidR="00B9109D">
        <w:rPr>
          <w:b/>
          <w:color w:val="000000"/>
        </w:rPr>
        <w:t>ach</w:t>
      </w:r>
      <w:r w:rsidRPr="002313FD">
        <w:rPr>
          <w:b/>
          <w:color w:val="000000"/>
        </w:rPr>
        <w:t xml:space="preserve"> posesyjnych.</w:t>
      </w:r>
    </w:p>
    <w:p w:rsidR="00F3041A" w:rsidRDefault="003B0702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760F23">
        <w:rPr>
          <w:color w:val="000000"/>
        </w:rPr>
        <w:t xml:space="preserve">Mimo iż narada posesyjna nie doszła ona do skutku   </w:t>
      </w:r>
      <w:r>
        <w:rPr>
          <w:color w:val="000000"/>
        </w:rPr>
        <w:t>Samorząd</w:t>
      </w:r>
      <w:r w:rsidR="00760F23">
        <w:rPr>
          <w:color w:val="000000"/>
        </w:rPr>
        <w:t xml:space="preserve"> </w:t>
      </w:r>
      <w:r w:rsidR="00F3041A">
        <w:rPr>
          <w:color w:val="000000"/>
        </w:rPr>
        <w:t>Studencki</w:t>
      </w:r>
      <w:r>
        <w:rPr>
          <w:color w:val="000000"/>
        </w:rPr>
        <w:t xml:space="preserve"> </w:t>
      </w:r>
      <w:r w:rsidR="00F3041A">
        <w:rPr>
          <w:color w:val="000000"/>
        </w:rPr>
        <w:t xml:space="preserve"> </w:t>
      </w:r>
      <w:r>
        <w:rPr>
          <w:color w:val="000000"/>
        </w:rPr>
        <w:t xml:space="preserve">Wydziału Architektury </w:t>
      </w:r>
      <w:r w:rsidR="00760F23">
        <w:rPr>
          <w:color w:val="000000"/>
        </w:rPr>
        <w:t xml:space="preserve">uczestniczył w posiedzeniach Rad Wydziału Architektury oraz </w:t>
      </w:r>
      <w:r w:rsidR="00E1388A">
        <w:rPr>
          <w:color w:val="000000"/>
        </w:rPr>
        <w:t>w spotkaniach</w:t>
      </w:r>
      <w:r w:rsidR="00760F23">
        <w:rPr>
          <w:color w:val="000000"/>
        </w:rPr>
        <w:t xml:space="preserve"> Wydziałowej Komisji ds.</w:t>
      </w:r>
      <w:r w:rsidR="00760F23" w:rsidRPr="003B0702">
        <w:rPr>
          <w:color w:val="000000"/>
        </w:rPr>
        <w:t xml:space="preserve"> </w:t>
      </w:r>
      <w:r w:rsidR="00760F23">
        <w:rPr>
          <w:color w:val="000000"/>
        </w:rPr>
        <w:t xml:space="preserve">Oceny i  Zapewnienia Jakości Kształcenia gdzie  wyrażał swoją  opinię </w:t>
      </w:r>
      <w:r>
        <w:rPr>
          <w:color w:val="000000"/>
        </w:rPr>
        <w:t xml:space="preserve"> w zakresie jakości dydaktyki i obsługi administracyjnej </w:t>
      </w:r>
      <w:r w:rsidR="00760F23">
        <w:rPr>
          <w:color w:val="000000"/>
        </w:rPr>
        <w:t xml:space="preserve">studentów. </w:t>
      </w:r>
    </w:p>
    <w:p w:rsidR="00760F23" w:rsidRDefault="00760F23" w:rsidP="00623814">
      <w:pPr>
        <w:autoSpaceDE w:val="0"/>
        <w:autoSpaceDN w:val="0"/>
        <w:adjustRightInd w:val="0"/>
        <w:ind w:right="-1"/>
        <w:rPr>
          <w:color w:val="000000"/>
        </w:rPr>
      </w:pP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right="-1"/>
        <w:rPr>
          <w:b/>
          <w:color w:val="000000"/>
        </w:rPr>
      </w:pPr>
      <w:r w:rsidRPr="002313FD">
        <w:rPr>
          <w:b/>
          <w:color w:val="000000"/>
        </w:rPr>
        <w:t>Zasięganie i analizowanie opinii pracowników nt. jakości i efektów kształcenia.</w:t>
      </w:r>
    </w:p>
    <w:p w:rsidR="00807216" w:rsidRDefault="00807216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ab/>
        <w:t>W trakcie spotkań</w:t>
      </w:r>
      <w:r w:rsidRPr="00807216">
        <w:rPr>
          <w:color w:val="000000"/>
        </w:rPr>
        <w:t xml:space="preserve"> </w:t>
      </w:r>
      <w:r>
        <w:rPr>
          <w:color w:val="000000"/>
        </w:rPr>
        <w:t>Wydziałowej Komisji ds.</w:t>
      </w:r>
      <w:r w:rsidRPr="003B0702">
        <w:rPr>
          <w:color w:val="000000"/>
        </w:rPr>
        <w:t xml:space="preserve"> </w:t>
      </w:r>
      <w:r>
        <w:rPr>
          <w:color w:val="000000"/>
        </w:rPr>
        <w:t>Oceny i  Zapewnienia Jakości Kształceni</w:t>
      </w:r>
      <w:r w:rsidR="00E1388A">
        <w:rPr>
          <w:color w:val="000000"/>
        </w:rPr>
        <w:t>a oraz na Radach Wydziału poświę</w:t>
      </w:r>
      <w:r>
        <w:rPr>
          <w:color w:val="000000"/>
        </w:rPr>
        <w:t>conych sprawom dydaktyki pojawiały się opinie pracowników w sprawach dokumentacji działań proponowanych przez Uczelnianą  Komisję ds.</w:t>
      </w:r>
      <w:r w:rsidRPr="003B0702">
        <w:rPr>
          <w:color w:val="000000"/>
        </w:rPr>
        <w:t xml:space="preserve"> </w:t>
      </w:r>
      <w:r>
        <w:rPr>
          <w:color w:val="000000"/>
        </w:rPr>
        <w:t>Oceny i  Zapewnienia Jakości Kształcenia. Krytycznie odniesiono się do</w:t>
      </w:r>
      <w:r w:rsidR="00895263">
        <w:rPr>
          <w:color w:val="000000"/>
        </w:rPr>
        <w:t xml:space="preserve"> oderwanych od rzeczywistości </w:t>
      </w:r>
      <w:r>
        <w:rPr>
          <w:color w:val="000000"/>
        </w:rPr>
        <w:t xml:space="preserve"> </w:t>
      </w:r>
      <w:r w:rsidR="00895263">
        <w:rPr>
          <w:color w:val="000000"/>
        </w:rPr>
        <w:t xml:space="preserve">sposobów opisy kierunkowych efektów kształcenia oraz postępującego zbiurokratyzowania procesu dydaktycznego. </w:t>
      </w:r>
      <w:r w:rsidR="00760F23">
        <w:t xml:space="preserve"> </w:t>
      </w:r>
    </w:p>
    <w:p w:rsidR="00F3041A" w:rsidRDefault="00807216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 </w:t>
      </w: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right="-1"/>
        <w:rPr>
          <w:b/>
          <w:color w:val="000000"/>
        </w:rPr>
      </w:pPr>
      <w:r w:rsidRPr="002313FD">
        <w:rPr>
          <w:b/>
          <w:color w:val="000000"/>
        </w:rPr>
        <w:t>Ocena infrastruktury dydaktycznej.</w:t>
      </w:r>
    </w:p>
    <w:p w:rsidR="00CC2906" w:rsidRDefault="0025142F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ab/>
      </w:r>
      <w:r w:rsidR="00F3041A">
        <w:rPr>
          <w:color w:val="000000"/>
        </w:rPr>
        <w:t xml:space="preserve">Głównym problemem w zakresie infrastruktury dydaktycznej </w:t>
      </w:r>
      <w:r>
        <w:rPr>
          <w:color w:val="000000"/>
        </w:rPr>
        <w:t xml:space="preserve"> w roku akademickim  </w:t>
      </w:r>
      <w:r w:rsidR="00B34033">
        <w:rPr>
          <w:color w:val="000000"/>
        </w:rPr>
        <w:t>2015/2016</w:t>
      </w:r>
      <w:r>
        <w:rPr>
          <w:color w:val="000000"/>
        </w:rPr>
        <w:t xml:space="preserve"> była </w:t>
      </w:r>
      <w:r w:rsidR="00F3041A">
        <w:rPr>
          <w:color w:val="000000"/>
        </w:rPr>
        <w:t xml:space="preserve">niewystarczająca liczba </w:t>
      </w:r>
      <w:r>
        <w:rPr>
          <w:color w:val="000000"/>
        </w:rPr>
        <w:t xml:space="preserve"> </w:t>
      </w:r>
      <w:r w:rsidR="00F3041A">
        <w:rPr>
          <w:color w:val="000000"/>
        </w:rPr>
        <w:t>sal dydaktycznych</w:t>
      </w:r>
      <w:r>
        <w:rPr>
          <w:color w:val="000000"/>
        </w:rPr>
        <w:t xml:space="preserve">- głównie sal </w:t>
      </w:r>
      <w:r w:rsidR="00F3041A">
        <w:rPr>
          <w:color w:val="000000"/>
        </w:rPr>
        <w:t xml:space="preserve"> </w:t>
      </w:r>
      <w:r w:rsidR="00CC2906">
        <w:rPr>
          <w:color w:val="000000"/>
        </w:rPr>
        <w:t>na potrzeby zajęć z projektowania</w:t>
      </w:r>
      <w:r>
        <w:rPr>
          <w:color w:val="000000"/>
        </w:rPr>
        <w:t xml:space="preserve"> i ćwiczeń. </w:t>
      </w:r>
      <w:r w:rsidR="00F3041A">
        <w:rPr>
          <w:color w:val="000000"/>
        </w:rPr>
        <w:t xml:space="preserve"> </w:t>
      </w:r>
      <w:r>
        <w:rPr>
          <w:color w:val="000000"/>
        </w:rPr>
        <w:t>Uniemożliwiało to normalną organizację zajęć z przerwami- zajęcia odbywały się bez przerw.</w:t>
      </w:r>
    </w:p>
    <w:p w:rsidR="00F3041A" w:rsidRDefault="00895263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Mimo obserwowanego polepszenia sytuacji </w:t>
      </w:r>
      <w:r w:rsidR="00F3041A">
        <w:rPr>
          <w:color w:val="000000"/>
        </w:rPr>
        <w:t xml:space="preserve"> </w:t>
      </w:r>
      <w:r>
        <w:rPr>
          <w:color w:val="000000"/>
        </w:rPr>
        <w:t xml:space="preserve">w dalszym ciągu </w:t>
      </w:r>
      <w:r w:rsidR="0025142F">
        <w:rPr>
          <w:color w:val="000000"/>
        </w:rPr>
        <w:t xml:space="preserve">niedostateczne jest wyposażenie sal </w:t>
      </w:r>
      <w:r w:rsidR="00F3041A">
        <w:rPr>
          <w:color w:val="000000"/>
        </w:rPr>
        <w:t xml:space="preserve"> w sprzęt dydaktyczny</w:t>
      </w:r>
      <w:r w:rsidR="0025142F">
        <w:rPr>
          <w:color w:val="000000"/>
        </w:rPr>
        <w:t xml:space="preserve">: </w:t>
      </w:r>
      <w:r w:rsidR="00F3041A">
        <w:rPr>
          <w:color w:val="000000"/>
        </w:rPr>
        <w:t xml:space="preserve"> </w:t>
      </w:r>
      <w:r w:rsidR="0025142F">
        <w:rPr>
          <w:color w:val="000000"/>
        </w:rPr>
        <w:t>audiowizualny, krzesła , stoły do pracy.</w:t>
      </w:r>
      <w:r w:rsidR="00F3041A">
        <w:rPr>
          <w:color w:val="000000"/>
        </w:rPr>
        <w:t xml:space="preserve"> </w:t>
      </w:r>
      <w:r w:rsidR="0025142F">
        <w:rPr>
          <w:color w:val="000000"/>
        </w:rPr>
        <w:t>Pomieszczenia dydaktyczne,</w:t>
      </w:r>
      <w:r w:rsidR="00B82B3F">
        <w:rPr>
          <w:color w:val="000000"/>
        </w:rPr>
        <w:t xml:space="preserve"> z</w:t>
      </w:r>
      <w:r w:rsidR="0025142F">
        <w:rPr>
          <w:color w:val="000000"/>
        </w:rPr>
        <w:t xml:space="preserve"> małymi wyjątkami,   na wszystkich kondygnacjach wymagają remontu: malowania, cyklinowania podłóg i nowego wyposażenia w meble.</w:t>
      </w:r>
    </w:p>
    <w:p w:rsidR="00CE19B7" w:rsidRDefault="00CE19B7" w:rsidP="00623814">
      <w:pPr>
        <w:autoSpaceDE w:val="0"/>
        <w:autoSpaceDN w:val="0"/>
        <w:adjustRightInd w:val="0"/>
        <w:ind w:right="-1"/>
        <w:rPr>
          <w:color w:val="000000"/>
        </w:rPr>
      </w:pPr>
    </w:p>
    <w:p w:rsidR="00F3041A" w:rsidRPr="00976040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right="-1"/>
        <w:rPr>
          <w:b/>
          <w:color w:val="000000"/>
        </w:rPr>
      </w:pPr>
      <w:r w:rsidRPr="00976040">
        <w:rPr>
          <w:color w:val="000000"/>
        </w:rPr>
        <w:t xml:space="preserve"> </w:t>
      </w:r>
      <w:r w:rsidRPr="00976040">
        <w:rPr>
          <w:b/>
          <w:color w:val="000000"/>
        </w:rPr>
        <w:t>Ocena obsady zajęć dydaktycznych.</w:t>
      </w:r>
    </w:p>
    <w:p w:rsidR="00CE19B7" w:rsidRDefault="00CE19B7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ab/>
        <w:t xml:space="preserve">W roku akademickim </w:t>
      </w:r>
      <w:r w:rsidR="00B34033">
        <w:rPr>
          <w:color w:val="000000"/>
        </w:rPr>
        <w:t>2015/2016</w:t>
      </w:r>
      <w:r>
        <w:rPr>
          <w:color w:val="000000"/>
        </w:rPr>
        <w:t xml:space="preserve"> konieczne było uzyskanie dla </w:t>
      </w:r>
      <w:r w:rsidR="0003190B">
        <w:rPr>
          <w:color w:val="000000"/>
        </w:rPr>
        <w:t xml:space="preserve">prawie wszystkich </w:t>
      </w:r>
      <w:r>
        <w:rPr>
          <w:color w:val="000000"/>
        </w:rPr>
        <w:t xml:space="preserve"> adiunktów i asystentów  ze stopniem doktora  zgody Rady Wydziału Architektury na prowadzenie następujących  zajęć dydaktycznych:  prac dyplomowych inżynierskich i magisterskich, wykładów i seminariów. </w:t>
      </w:r>
      <w:r>
        <w:rPr>
          <w:color w:val="000000"/>
        </w:rPr>
        <w:tab/>
      </w:r>
    </w:p>
    <w:p w:rsidR="00F3041A" w:rsidRDefault="00CE19B7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W większości wypadków p</w:t>
      </w:r>
      <w:r w:rsidR="00F3041A">
        <w:rPr>
          <w:color w:val="000000"/>
        </w:rPr>
        <w:t xml:space="preserve">racownicy prowadzący zajęcia dydaktyczne </w:t>
      </w:r>
      <w:r>
        <w:rPr>
          <w:color w:val="000000"/>
        </w:rPr>
        <w:t xml:space="preserve">z projektowania architektonicznego  </w:t>
      </w:r>
      <w:r w:rsidR="00F3041A">
        <w:rPr>
          <w:color w:val="000000"/>
        </w:rPr>
        <w:t>posiada</w:t>
      </w:r>
      <w:r>
        <w:rPr>
          <w:color w:val="000000"/>
        </w:rPr>
        <w:t xml:space="preserve">ją </w:t>
      </w:r>
      <w:r w:rsidR="00F3041A">
        <w:rPr>
          <w:color w:val="000000"/>
        </w:rPr>
        <w:t xml:space="preserve"> uprawnienia zawodowe, co ma istotny wpływ na jakość kształcenia. Liczba studentów</w:t>
      </w:r>
      <w:r w:rsidR="0003190B">
        <w:rPr>
          <w:color w:val="000000"/>
        </w:rPr>
        <w:t xml:space="preserve"> na WA </w:t>
      </w:r>
      <w:r>
        <w:rPr>
          <w:color w:val="000000"/>
        </w:rPr>
        <w:t xml:space="preserve"> </w:t>
      </w:r>
      <w:r w:rsidR="000C3A5C">
        <w:rPr>
          <w:color w:val="000000"/>
        </w:rPr>
        <w:t>utrzymuje się od wielu lat na stałym poziomie co pozwala na równomierne obciążenie</w:t>
      </w:r>
      <w:r w:rsidR="0003190B">
        <w:rPr>
          <w:color w:val="000000"/>
        </w:rPr>
        <w:t xml:space="preserve"> pracowników zajęciami dydaktycznymi.</w:t>
      </w:r>
      <w:r w:rsidR="000C3A5C">
        <w:rPr>
          <w:color w:val="000000"/>
        </w:rPr>
        <w:t xml:space="preserve"> </w:t>
      </w:r>
    </w:p>
    <w:p w:rsidR="000C3A5C" w:rsidRDefault="00F3041A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Obsada zajęć dydaktycznych jest ustalana </w:t>
      </w:r>
      <w:r w:rsidR="000C3A5C">
        <w:rPr>
          <w:color w:val="000000"/>
        </w:rPr>
        <w:t xml:space="preserve">przez kierowników jednostek wydziałowych z odpowiednim wyprzedzeniem ( 2 tygodnie) </w:t>
      </w:r>
      <w:r>
        <w:rPr>
          <w:color w:val="000000"/>
        </w:rPr>
        <w:t>przed zako</w:t>
      </w:r>
      <w:r w:rsidR="000C3A5C">
        <w:rPr>
          <w:color w:val="000000"/>
        </w:rPr>
        <w:t>ńczeniem poprzedniego semestru.</w:t>
      </w:r>
    </w:p>
    <w:p w:rsidR="00F3041A" w:rsidRDefault="000C3A5C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Osoby spoza Wydziału proponowane do prowadzenia zajęć przez kierowników jednostek,  każdorazowo uzyskują  akceptację Rady Wydziału.</w:t>
      </w:r>
      <w:r w:rsidR="008C2144">
        <w:rPr>
          <w:color w:val="000000"/>
        </w:rPr>
        <w:t xml:space="preserve"> W roku akademickim 2015/2016</w:t>
      </w:r>
      <w:r w:rsidR="00895263">
        <w:rPr>
          <w:color w:val="000000"/>
        </w:rPr>
        <w:t xml:space="preserve"> było to około 30</w:t>
      </w:r>
      <w:r w:rsidR="0003190B">
        <w:rPr>
          <w:color w:val="000000"/>
        </w:rPr>
        <w:t xml:space="preserve"> specjalistów, pracowników emerytowanych i doktorantów którym powierzono zajęcia dydaktyczne na Wydziale. </w:t>
      </w:r>
      <w:r>
        <w:rPr>
          <w:color w:val="000000"/>
        </w:rPr>
        <w:t xml:space="preserve"> </w:t>
      </w:r>
    </w:p>
    <w:p w:rsidR="000C3A5C" w:rsidRDefault="000C3A5C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Osoby </w:t>
      </w:r>
      <w:r w:rsidR="0003190B">
        <w:rPr>
          <w:color w:val="000000"/>
        </w:rPr>
        <w:t xml:space="preserve">nowo </w:t>
      </w:r>
      <w:r>
        <w:rPr>
          <w:color w:val="000000"/>
        </w:rPr>
        <w:t xml:space="preserve">zatrudnione w roku akademickim </w:t>
      </w:r>
      <w:r w:rsidR="00B34033">
        <w:rPr>
          <w:color w:val="000000"/>
        </w:rPr>
        <w:t>2015/2016</w:t>
      </w:r>
      <w:r>
        <w:rPr>
          <w:color w:val="000000"/>
        </w:rPr>
        <w:t xml:space="preserve"> </w:t>
      </w:r>
      <w:r w:rsidR="0003190B">
        <w:rPr>
          <w:color w:val="000000"/>
        </w:rPr>
        <w:t xml:space="preserve">do prowadzenia zajęć </w:t>
      </w:r>
      <w:r>
        <w:rPr>
          <w:color w:val="000000"/>
        </w:rPr>
        <w:t xml:space="preserve"> miały zapewnione pensum dydaktyczne , a ich doświadczenie dydaktyczne było przedmiotem weryfikacji  w trakcie procedury konkursowej. </w:t>
      </w:r>
    </w:p>
    <w:p w:rsidR="00F3041A" w:rsidRDefault="00F3041A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Studenci m</w:t>
      </w:r>
      <w:r w:rsidR="0003190B">
        <w:rPr>
          <w:color w:val="000000"/>
        </w:rPr>
        <w:t xml:space="preserve">ieli </w:t>
      </w:r>
      <w:r>
        <w:rPr>
          <w:color w:val="000000"/>
        </w:rPr>
        <w:t xml:space="preserve"> swobodę wyboru prowadzącego zajęcia w trakcie zapisów na kursy –</w:t>
      </w:r>
    </w:p>
    <w:p w:rsidR="00190ED1" w:rsidRDefault="00F3041A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w miarę wolnych miejsc i w kolejności zgłoszeń.</w:t>
      </w:r>
    </w:p>
    <w:p w:rsidR="00FD000E" w:rsidRPr="00190ED1" w:rsidRDefault="00190ED1" w:rsidP="00623814">
      <w:pPr>
        <w:autoSpaceDE w:val="0"/>
        <w:autoSpaceDN w:val="0"/>
        <w:adjustRightInd w:val="0"/>
        <w:ind w:right="-1"/>
        <w:rPr>
          <w:color w:val="000000"/>
        </w:rPr>
      </w:pPr>
      <w:r w:rsidRPr="00190ED1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FD000E" w:rsidRPr="00190ED1">
        <w:rPr>
          <w:b/>
          <w:bCs/>
          <w:color w:val="000000"/>
        </w:rPr>
        <w:t>P</w:t>
      </w:r>
      <w:r w:rsidR="00F3041A" w:rsidRPr="00190ED1">
        <w:rPr>
          <w:b/>
          <w:bCs/>
          <w:color w:val="000000"/>
        </w:rPr>
        <w:t>osiedzenia Rady Wydziału</w:t>
      </w:r>
      <w:r w:rsidR="00FD000E" w:rsidRPr="00190ED1">
        <w:rPr>
          <w:b/>
          <w:bCs/>
          <w:color w:val="000000"/>
        </w:rPr>
        <w:t xml:space="preserve"> i zebrania </w:t>
      </w:r>
      <w:r w:rsidR="00FD000E" w:rsidRPr="00190ED1">
        <w:rPr>
          <w:b/>
          <w:color w:val="000000"/>
        </w:rPr>
        <w:t>Wydziałowej</w:t>
      </w:r>
      <w:r w:rsidR="00FD000E" w:rsidRPr="00190ED1">
        <w:rPr>
          <w:color w:val="000000"/>
        </w:rPr>
        <w:t xml:space="preserve"> </w:t>
      </w:r>
      <w:r w:rsidR="00FD000E" w:rsidRPr="00190ED1">
        <w:rPr>
          <w:b/>
          <w:color w:val="000000"/>
        </w:rPr>
        <w:t>Komisji ds. Oceny i Zapewnienia Jakości Kształcenia</w:t>
      </w:r>
      <w:r w:rsidR="00FD000E" w:rsidRPr="00190ED1">
        <w:rPr>
          <w:color w:val="000000"/>
        </w:rPr>
        <w:t xml:space="preserve">  </w:t>
      </w:r>
    </w:p>
    <w:p w:rsidR="00190ED1" w:rsidRDefault="00895263" w:rsidP="00623814">
      <w:pPr>
        <w:pStyle w:val="Akapitzlist"/>
        <w:autoSpaceDE w:val="0"/>
        <w:autoSpaceDN w:val="0"/>
        <w:adjustRightInd w:val="0"/>
        <w:ind w:left="0" w:right="-1"/>
        <w:rPr>
          <w:color w:val="000000"/>
        </w:rPr>
      </w:pPr>
      <w:r>
        <w:rPr>
          <w:color w:val="000000"/>
        </w:rPr>
        <w:t xml:space="preserve">Odbyło się </w:t>
      </w:r>
      <w:r w:rsidR="00FD000E">
        <w:rPr>
          <w:color w:val="000000"/>
        </w:rPr>
        <w:t xml:space="preserve"> </w:t>
      </w:r>
      <w:r>
        <w:rPr>
          <w:color w:val="000000"/>
        </w:rPr>
        <w:t xml:space="preserve">pięć </w:t>
      </w:r>
      <w:r w:rsidR="00FD000E" w:rsidRPr="00FD000E">
        <w:rPr>
          <w:color w:val="000000"/>
        </w:rPr>
        <w:t xml:space="preserve"> zebrań  Wydziałowej Komisji ds. Oceny i Zapewni</w:t>
      </w:r>
      <w:r w:rsidR="009149FA">
        <w:rPr>
          <w:color w:val="000000"/>
        </w:rPr>
        <w:t>enia Jakości Kształcenia  (Zał.1</w:t>
      </w:r>
      <w:r w:rsidR="00FD000E" w:rsidRPr="00FD000E">
        <w:rPr>
          <w:color w:val="000000"/>
        </w:rPr>
        <w:t xml:space="preserve">) </w:t>
      </w:r>
      <w:r w:rsidR="00F3041A">
        <w:rPr>
          <w:color w:val="000000"/>
        </w:rPr>
        <w:t>Sprawy związane z dydaktyką były</w:t>
      </w:r>
      <w:r w:rsidR="00FD000E">
        <w:rPr>
          <w:color w:val="000000"/>
        </w:rPr>
        <w:t xml:space="preserve"> ponadto </w:t>
      </w:r>
      <w:r w:rsidR="00F3041A">
        <w:rPr>
          <w:color w:val="000000"/>
        </w:rPr>
        <w:t xml:space="preserve"> poruszane</w:t>
      </w:r>
      <w:r w:rsidR="00FD000E">
        <w:rPr>
          <w:color w:val="000000"/>
        </w:rPr>
        <w:t xml:space="preserve"> </w:t>
      </w:r>
      <w:r w:rsidR="00F3041A">
        <w:rPr>
          <w:color w:val="000000"/>
        </w:rPr>
        <w:t>na</w:t>
      </w:r>
      <w:r>
        <w:rPr>
          <w:color w:val="000000"/>
        </w:rPr>
        <w:t xml:space="preserve"> posiedzeniach</w:t>
      </w:r>
      <w:r w:rsidR="00F3041A">
        <w:rPr>
          <w:color w:val="000000"/>
        </w:rPr>
        <w:t xml:space="preserve"> Rady Wydziału </w:t>
      </w:r>
      <w:r w:rsidR="00FD000E">
        <w:rPr>
          <w:color w:val="000000"/>
        </w:rPr>
        <w:t xml:space="preserve"> </w:t>
      </w:r>
      <w:r w:rsidR="00F3041A">
        <w:rPr>
          <w:color w:val="000000"/>
        </w:rPr>
        <w:t>w odrębnych punktach</w:t>
      </w:r>
      <w:r w:rsidR="00FD000E">
        <w:rPr>
          <w:color w:val="000000"/>
        </w:rPr>
        <w:t xml:space="preserve"> poświęconych dydaktyce </w:t>
      </w:r>
      <w:r w:rsidR="00F3041A">
        <w:rPr>
          <w:color w:val="000000"/>
        </w:rPr>
        <w:t xml:space="preserve"> (</w:t>
      </w:r>
      <w:r w:rsidR="00FD000E">
        <w:rPr>
          <w:color w:val="000000"/>
        </w:rPr>
        <w:t xml:space="preserve"> między innymi: </w:t>
      </w:r>
      <w:r w:rsidR="00F3041A">
        <w:rPr>
          <w:color w:val="000000"/>
        </w:rPr>
        <w:t>zatwierdzanie tematów prac dyplomowych, lista osób spoza PWr. przewidzianych do prowadzenia</w:t>
      </w:r>
      <w:r w:rsidR="00FD000E">
        <w:rPr>
          <w:color w:val="000000"/>
        </w:rPr>
        <w:t xml:space="preserve"> </w:t>
      </w:r>
      <w:r w:rsidR="00F3041A">
        <w:rPr>
          <w:color w:val="000000"/>
        </w:rPr>
        <w:t>zajęć,</w:t>
      </w:r>
      <w:r w:rsidR="00FD000E">
        <w:rPr>
          <w:color w:val="000000"/>
        </w:rPr>
        <w:t xml:space="preserve"> lista osób do prowadzenia wykładów i seminariów,</w:t>
      </w:r>
      <w:r w:rsidR="00F3041A">
        <w:rPr>
          <w:color w:val="000000"/>
        </w:rPr>
        <w:t xml:space="preserve"> limity przyjęć na studia, nagrody dla studentów, sprawy zgłaszane</w:t>
      </w:r>
      <w:r w:rsidR="00FD000E">
        <w:rPr>
          <w:color w:val="000000"/>
        </w:rPr>
        <w:t>,</w:t>
      </w:r>
      <w:r w:rsidR="00FD000E" w:rsidRPr="00FD000E">
        <w:rPr>
          <w:color w:val="000000"/>
        </w:rPr>
        <w:t xml:space="preserve"> </w:t>
      </w:r>
      <w:r w:rsidR="00FD000E">
        <w:rPr>
          <w:color w:val="000000"/>
        </w:rPr>
        <w:t xml:space="preserve">studia podyplomowe, </w:t>
      </w:r>
      <w:r w:rsidR="00F3041A">
        <w:rPr>
          <w:color w:val="000000"/>
        </w:rPr>
        <w:t>itp.).</w:t>
      </w:r>
      <w:r>
        <w:rPr>
          <w:color w:val="000000"/>
        </w:rPr>
        <w:t xml:space="preserve"> Rada Wydziału podjęła 31 uchwał poświęconych dydaktyce w roku akademickim 2015/2016.</w:t>
      </w:r>
    </w:p>
    <w:p w:rsidR="00F3041A" w:rsidRPr="00190ED1" w:rsidRDefault="00190ED1" w:rsidP="00623814">
      <w:pPr>
        <w:pStyle w:val="Akapitzlist"/>
        <w:autoSpaceDE w:val="0"/>
        <w:autoSpaceDN w:val="0"/>
        <w:adjustRightInd w:val="0"/>
        <w:ind w:left="0" w:right="-1"/>
        <w:rPr>
          <w:color w:val="000000"/>
        </w:rPr>
      </w:pPr>
      <w:r w:rsidRPr="00190ED1">
        <w:rPr>
          <w:b/>
          <w:color w:val="000000"/>
        </w:rPr>
        <w:t>5</w:t>
      </w:r>
      <w:r>
        <w:rPr>
          <w:color w:val="000000"/>
        </w:rPr>
        <w:t xml:space="preserve">. </w:t>
      </w:r>
      <w:r w:rsidR="00F3041A" w:rsidRPr="004436D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F3041A" w:rsidRPr="004436D3">
        <w:rPr>
          <w:b/>
          <w:bCs/>
          <w:color w:val="000000"/>
        </w:rPr>
        <w:t xml:space="preserve">Wnioski </w:t>
      </w:r>
      <w:r w:rsidR="004436D3" w:rsidRPr="004436D3">
        <w:rPr>
          <w:b/>
          <w:bCs/>
          <w:color w:val="000000"/>
        </w:rPr>
        <w:t xml:space="preserve">dotyczące działalności Wydziałowe Komisji ds. Oceny i Zapewnienia Jakości </w:t>
      </w:r>
      <w:r>
        <w:rPr>
          <w:b/>
          <w:bCs/>
          <w:color w:val="000000"/>
        </w:rPr>
        <w:tab/>
      </w:r>
      <w:r w:rsidR="004436D3" w:rsidRPr="004436D3">
        <w:rPr>
          <w:b/>
          <w:bCs/>
          <w:color w:val="000000"/>
        </w:rPr>
        <w:t xml:space="preserve">Kształcenia </w:t>
      </w:r>
    </w:p>
    <w:p w:rsidR="004436D3" w:rsidRPr="004436D3" w:rsidRDefault="004436D3" w:rsidP="00623814">
      <w:pPr>
        <w:pStyle w:val="Akapitzlist"/>
        <w:autoSpaceDE w:val="0"/>
        <w:autoSpaceDN w:val="0"/>
        <w:adjustRightInd w:val="0"/>
        <w:ind w:left="0" w:right="-1"/>
        <w:rPr>
          <w:b/>
          <w:bCs/>
          <w:color w:val="000000"/>
        </w:rPr>
      </w:pPr>
    </w:p>
    <w:p w:rsidR="00F3041A" w:rsidRDefault="00FD000E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ab/>
      </w:r>
      <w:r w:rsidR="00F3041A">
        <w:rPr>
          <w:color w:val="000000"/>
        </w:rPr>
        <w:t xml:space="preserve"> Działalność WKOZJK skupiła się w </w:t>
      </w:r>
      <w:r w:rsidR="004436D3">
        <w:rPr>
          <w:color w:val="000000"/>
        </w:rPr>
        <w:t xml:space="preserve">roku akademicki </w:t>
      </w:r>
      <w:r w:rsidR="00B34033">
        <w:rPr>
          <w:color w:val="000000"/>
        </w:rPr>
        <w:t>2015/2016</w:t>
      </w:r>
      <w:r w:rsidR="004436D3">
        <w:rPr>
          <w:color w:val="000000"/>
        </w:rPr>
        <w:t xml:space="preserve"> </w:t>
      </w:r>
      <w:r w:rsidR="00F3041A">
        <w:rPr>
          <w:color w:val="000000"/>
        </w:rPr>
        <w:t xml:space="preserve"> na:</w:t>
      </w:r>
    </w:p>
    <w:p w:rsidR="00F3041A" w:rsidRDefault="00FD000E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lastRenderedPageBreak/>
        <w:t>a</w:t>
      </w:r>
      <w:r w:rsidR="00F3041A">
        <w:rPr>
          <w:color w:val="000000"/>
        </w:rPr>
        <w:t xml:space="preserve">) pracach nad </w:t>
      </w:r>
      <w:r w:rsidR="00895263">
        <w:rPr>
          <w:color w:val="000000"/>
        </w:rPr>
        <w:t xml:space="preserve">modyfikacjami </w:t>
      </w:r>
      <w:r w:rsidR="002248C8">
        <w:rPr>
          <w:color w:val="000000"/>
        </w:rPr>
        <w:t xml:space="preserve">planów  i programów </w:t>
      </w:r>
      <w:r w:rsidR="00F3041A">
        <w:rPr>
          <w:color w:val="000000"/>
        </w:rPr>
        <w:t xml:space="preserve"> studiów I stopnia i II stopnia, stacjonarnych oraz niestacjonarnych;</w:t>
      </w:r>
    </w:p>
    <w:p w:rsidR="00F3041A" w:rsidRDefault="00F3041A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e) poprawie systemu informacji dla studentów i pracowników Wydziału (strona internetowa</w:t>
      </w:r>
      <w:r w:rsidR="004436D3">
        <w:rPr>
          <w:color w:val="000000"/>
        </w:rPr>
        <w:t xml:space="preserve"> WA)</w:t>
      </w:r>
      <w:r>
        <w:rPr>
          <w:color w:val="000000"/>
        </w:rPr>
        <w:t>,</w:t>
      </w:r>
    </w:p>
    <w:p w:rsidR="00F3041A" w:rsidRDefault="00521BF3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ab/>
        <w:t xml:space="preserve">Najważniejsze  zadania </w:t>
      </w:r>
      <w:r w:rsidR="004436D3">
        <w:rPr>
          <w:color w:val="000000"/>
        </w:rPr>
        <w:t xml:space="preserve">WKOZJK </w:t>
      </w:r>
      <w:r w:rsidR="002248C8">
        <w:rPr>
          <w:color w:val="000000"/>
        </w:rPr>
        <w:t>w roku akademickim 2016/2017</w:t>
      </w:r>
      <w:r w:rsidR="00F3041A">
        <w:rPr>
          <w:color w:val="000000"/>
        </w:rPr>
        <w:t xml:space="preserve"> </w:t>
      </w:r>
      <w:r w:rsidR="004436D3">
        <w:rPr>
          <w:color w:val="000000"/>
        </w:rPr>
        <w:t>to</w:t>
      </w:r>
      <w:r w:rsidR="00F3041A">
        <w:rPr>
          <w:color w:val="000000"/>
        </w:rPr>
        <w:t>:</w:t>
      </w:r>
    </w:p>
    <w:p w:rsidR="00F3041A" w:rsidRDefault="00F3041A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a) </w:t>
      </w:r>
      <w:r w:rsidR="00521BF3">
        <w:rPr>
          <w:color w:val="000000"/>
        </w:rPr>
        <w:t xml:space="preserve">przeprowadzenie hospitacji zajęć </w:t>
      </w:r>
    </w:p>
    <w:p w:rsidR="00F3041A" w:rsidRDefault="00F3041A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b) </w:t>
      </w:r>
      <w:r w:rsidR="004436D3">
        <w:rPr>
          <w:color w:val="000000"/>
        </w:rPr>
        <w:t xml:space="preserve">organizacja </w:t>
      </w:r>
      <w:r>
        <w:rPr>
          <w:color w:val="000000"/>
        </w:rPr>
        <w:t xml:space="preserve"> </w:t>
      </w:r>
      <w:r w:rsidR="004436D3">
        <w:rPr>
          <w:color w:val="000000"/>
        </w:rPr>
        <w:t xml:space="preserve">Rady Wydziału </w:t>
      </w:r>
      <w:r w:rsidR="00190ED1">
        <w:rPr>
          <w:color w:val="000000"/>
        </w:rPr>
        <w:t>wraz z naradą posesyjną poświ</w:t>
      </w:r>
      <w:r w:rsidR="004436D3">
        <w:rPr>
          <w:color w:val="000000"/>
        </w:rPr>
        <w:t>ęco</w:t>
      </w:r>
      <w:r w:rsidR="00190ED1">
        <w:rPr>
          <w:color w:val="000000"/>
        </w:rPr>
        <w:t xml:space="preserve">nych </w:t>
      </w:r>
      <w:r w:rsidR="004436D3">
        <w:rPr>
          <w:color w:val="000000"/>
        </w:rPr>
        <w:t xml:space="preserve"> dydaktyce </w:t>
      </w:r>
    </w:p>
    <w:p w:rsidR="00F3041A" w:rsidRDefault="00521BF3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c</w:t>
      </w:r>
      <w:r w:rsidR="00F3041A">
        <w:rPr>
          <w:color w:val="000000"/>
        </w:rPr>
        <w:t xml:space="preserve">) </w:t>
      </w:r>
      <w:r>
        <w:rPr>
          <w:color w:val="000000"/>
        </w:rPr>
        <w:t xml:space="preserve">analiza ankiet </w:t>
      </w:r>
      <w:r w:rsidR="00F3041A">
        <w:rPr>
          <w:color w:val="000000"/>
        </w:rPr>
        <w:t xml:space="preserve">studentów </w:t>
      </w:r>
      <w:r>
        <w:rPr>
          <w:color w:val="000000"/>
        </w:rPr>
        <w:t>i publikacja wniosków</w:t>
      </w:r>
    </w:p>
    <w:p w:rsidR="00521BF3" w:rsidRDefault="00521BF3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d) działania na rzecz powiększenie i unowocześnienie bazy dydaktycznej</w:t>
      </w:r>
    </w:p>
    <w:p w:rsidR="002248C8" w:rsidRDefault="002248C8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e) przeprowadzenie otwartej dyskusji na temat poziomu prac dyplomowych na I i II stopniu</w:t>
      </w:r>
    </w:p>
    <w:p w:rsidR="00F3041A" w:rsidRPr="00600472" w:rsidRDefault="00F3041A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9D0C7A" w:rsidRPr="00553707" w:rsidRDefault="009D0C7A" w:rsidP="00623814">
      <w:pPr>
        <w:pStyle w:val="Default"/>
        <w:ind w:right="-1"/>
        <w:rPr>
          <w:rFonts w:ascii="Arial" w:hAnsi="Arial" w:cs="Arial"/>
          <w:sz w:val="22"/>
          <w:szCs w:val="22"/>
        </w:rPr>
      </w:pPr>
    </w:p>
    <w:p w:rsidR="009F5E0F" w:rsidRPr="00600472" w:rsidRDefault="009F5E0F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9F5E0F" w:rsidRPr="00600472" w:rsidRDefault="009F5E0F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9F5E0F" w:rsidRPr="00600472" w:rsidRDefault="009F5E0F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9F5E0F" w:rsidRPr="00600472" w:rsidRDefault="009F5E0F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9F5E0F" w:rsidRDefault="009F5E0F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553707" w:rsidRDefault="00553707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553707" w:rsidRPr="00600472" w:rsidRDefault="00553707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C53900" w:rsidRDefault="00B81C63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</w:p>
    <w:p w:rsidR="009149FA" w:rsidRDefault="00B81C63" w:rsidP="00623814">
      <w:pPr>
        <w:autoSpaceDE w:val="0"/>
        <w:autoSpaceDN w:val="0"/>
        <w:adjustRightInd w:val="0"/>
        <w:ind w:right="-1"/>
        <w:rPr>
          <w:iCs/>
          <w:color w:val="000000"/>
        </w:rPr>
      </w:pPr>
      <w:r w:rsidRPr="00B81C63">
        <w:rPr>
          <w:iCs/>
          <w:color w:val="000000"/>
        </w:rPr>
        <w:t>Prodziekan ds. Dydaktyki</w:t>
      </w:r>
      <w:r w:rsidR="009149FA">
        <w:rPr>
          <w:iCs/>
          <w:color w:val="000000"/>
        </w:rPr>
        <w:t xml:space="preserve">  w kadencji 2012-2014 </w:t>
      </w:r>
    </w:p>
    <w:p w:rsidR="009F5E0F" w:rsidRPr="00B81C63" w:rsidRDefault="00B81C63" w:rsidP="00623814">
      <w:pPr>
        <w:autoSpaceDE w:val="0"/>
        <w:autoSpaceDN w:val="0"/>
        <w:adjustRightInd w:val="0"/>
        <w:ind w:right="-1"/>
        <w:rPr>
          <w:iCs/>
          <w:color w:val="000000"/>
        </w:rPr>
      </w:pPr>
      <w:r w:rsidRPr="00B81C63">
        <w:rPr>
          <w:iCs/>
          <w:color w:val="000000"/>
        </w:rPr>
        <w:t xml:space="preserve"> Bogusław Wowrzeczka</w:t>
      </w:r>
    </w:p>
    <w:p w:rsidR="00B81C63" w:rsidRDefault="00B81C63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9F5E0F" w:rsidRPr="00600472" w:rsidRDefault="009F5E0F" w:rsidP="00623814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9F5E0F" w:rsidRDefault="009F5E0F" w:rsidP="00623814">
      <w:pPr>
        <w:autoSpaceDE w:val="0"/>
        <w:autoSpaceDN w:val="0"/>
        <w:adjustRightInd w:val="0"/>
        <w:ind w:right="-1"/>
        <w:rPr>
          <w:color w:val="000000"/>
          <w:sz w:val="18"/>
          <w:szCs w:val="18"/>
        </w:rPr>
      </w:pPr>
    </w:p>
    <w:p w:rsidR="00F3041A" w:rsidRDefault="00F3041A" w:rsidP="00623814">
      <w:pPr>
        <w:autoSpaceDE w:val="0"/>
        <w:autoSpaceDN w:val="0"/>
        <w:adjustRightInd w:val="0"/>
        <w:ind w:right="-1"/>
        <w:rPr>
          <w:b/>
          <w:bCs/>
          <w:color w:val="000000"/>
        </w:rPr>
      </w:pPr>
      <w:r>
        <w:rPr>
          <w:b/>
          <w:bCs/>
          <w:color w:val="000000"/>
        </w:rPr>
        <w:t>Zał</w:t>
      </w:r>
      <w:r>
        <w:rPr>
          <w:rFonts w:ascii="Arial,Bold" w:hAnsi="Arial,Bold" w:cs="Arial,Bold"/>
          <w:b/>
          <w:bCs/>
          <w:color w:val="000000"/>
        </w:rPr>
        <w:t>ą</w:t>
      </w:r>
      <w:r>
        <w:rPr>
          <w:b/>
          <w:bCs/>
          <w:color w:val="000000"/>
        </w:rPr>
        <w:t>czniki</w:t>
      </w:r>
      <w:r w:rsidR="00190ED1">
        <w:rPr>
          <w:b/>
          <w:bCs/>
          <w:color w:val="000000"/>
        </w:rPr>
        <w:t>:</w:t>
      </w:r>
    </w:p>
    <w:p w:rsidR="00F3041A" w:rsidRDefault="00553707" w:rsidP="00623814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Zał</w:t>
      </w:r>
      <w:r w:rsidR="009149FA">
        <w:rPr>
          <w:color w:val="000000"/>
        </w:rPr>
        <w:t>.1</w:t>
      </w:r>
      <w:r>
        <w:rPr>
          <w:color w:val="000000"/>
        </w:rPr>
        <w:t>. Protokoły z  zebrań</w:t>
      </w:r>
      <w:r w:rsidR="00F3041A">
        <w:rPr>
          <w:color w:val="000000"/>
        </w:rPr>
        <w:t xml:space="preserve"> WKOZJK </w:t>
      </w:r>
      <w:r>
        <w:rPr>
          <w:color w:val="000000"/>
        </w:rPr>
        <w:t xml:space="preserve">w roku akademickim </w:t>
      </w:r>
      <w:r w:rsidR="00B34033">
        <w:rPr>
          <w:color w:val="000000"/>
        </w:rPr>
        <w:t>2015/2016</w:t>
      </w:r>
    </w:p>
    <w:p w:rsidR="00F3041A" w:rsidRDefault="00F3041A" w:rsidP="00623814">
      <w:pPr>
        <w:ind w:right="-1"/>
      </w:pPr>
    </w:p>
    <w:sectPr w:rsidR="00F3041A" w:rsidSect="00623814">
      <w:pgSz w:w="11906" w:h="17338"/>
      <w:pgMar w:top="1159" w:right="1558" w:bottom="1344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7F" w:rsidRDefault="0067297F" w:rsidP="009D0C7A">
      <w:r>
        <w:separator/>
      </w:r>
    </w:p>
  </w:endnote>
  <w:endnote w:type="continuationSeparator" w:id="0">
    <w:p w:rsidR="0067297F" w:rsidRDefault="0067297F" w:rsidP="009D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605044"/>
      <w:docPartObj>
        <w:docPartGallery w:val="Page Numbers (Bottom of Page)"/>
        <w:docPartUnique/>
      </w:docPartObj>
    </w:sdtPr>
    <w:sdtEndPr/>
    <w:sdtContent>
      <w:p w:rsidR="009E057B" w:rsidRDefault="009E0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D3">
          <w:rPr>
            <w:noProof/>
          </w:rPr>
          <w:t>2</w:t>
        </w:r>
        <w:r>
          <w:fldChar w:fldCharType="end"/>
        </w:r>
      </w:p>
    </w:sdtContent>
  </w:sdt>
  <w:p w:rsidR="009E057B" w:rsidRDefault="009E0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7F" w:rsidRDefault="0067297F" w:rsidP="009D0C7A">
      <w:r>
        <w:separator/>
      </w:r>
    </w:p>
  </w:footnote>
  <w:footnote w:type="continuationSeparator" w:id="0">
    <w:p w:rsidR="0067297F" w:rsidRDefault="0067297F" w:rsidP="009D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094"/>
    <w:multiLevelType w:val="hybridMultilevel"/>
    <w:tmpl w:val="A7607E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405"/>
    <w:multiLevelType w:val="hybridMultilevel"/>
    <w:tmpl w:val="AB4AB77C"/>
    <w:lvl w:ilvl="0" w:tplc="A56CB2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64A2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57E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5B03"/>
    <w:multiLevelType w:val="hybridMultilevel"/>
    <w:tmpl w:val="869A282A"/>
    <w:lvl w:ilvl="0" w:tplc="3418F82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11DE"/>
    <w:multiLevelType w:val="hybridMultilevel"/>
    <w:tmpl w:val="D7AED4A2"/>
    <w:lvl w:ilvl="0" w:tplc="F586DA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2C34"/>
    <w:multiLevelType w:val="hybridMultilevel"/>
    <w:tmpl w:val="FA9CF516"/>
    <w:lvl w:ilvl="0" w:tplc="4508A56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F007DF"/>
    <w:multiLevelType w:val="hybridMultilevel"/>
    <w:tmpl w:val="3498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982"/>
    <w:multiLevelType w:val="hybridMultilevel"/>
    <w:tmpl w:val="028AE5D8"/>
    <w:lvl w:ilvl="0" w:tplc="3418F82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25CD"/>
    <w:multiLevelType w:val="hybridMultilevel"/>
    <w:tmpl w:val="82E4F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6AD3"/>
    <w:multiLevelType w:val="hybridMultilevel"/>
    <w:tmpl w:val="1F542B9C"/>
    <w:lvl w:ilvl="0" w:tplc="D92AC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168EA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6C3"/>
    <w:multiLevelType w:val="hybridMultilevel"/>
    <w:tmpl w:val="E65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4569"/>
    <w:multiLevelType w:val="hybridMultilevel"/>
    <w:tmpl w:val="37F65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E36B0"/>
    <w:multiLevelType w:val="hybridMultilevel"/>
    <w:tmpl w:val="6936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1A06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1F41"/>
    <w:multiLevelType w:val="multilevel"/>
    <w:tmpl w:val="8318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41099C"/>
    <w:multiLevelType w:val="hybridMultilevel"/>
    <w:tmpl w:val="90EA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0EAD"/>
    <w:multiLevelType w:val="hybridMultilevel"/>
    <w:tmpl w:val="12A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A60"/>
    <w:multiLevelType w:val="hybridMultilevel"/>
    <w:tmpl w:val="3FD8CC9A"/>
    <w:lvl w:ilvl="0" w:tplc="17C40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AD267C"/>
    <w:multiLevelType w:val="hybridMultilevel"/>
    <w:tmpl w:val="9F6ECC0A"/>
    <w:lvl w:ilvl="0" w:tplc="87DA1930">
      <w:start w:val="274"/>
      <w:numFmt w:val="decimal"/>
      <w:lvlText w:val="(%1"/>
      <w:lvlJc w:val="left"/>
      <w:pPr>
        <w:ind w:left="18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5C42BD"/>
    <w:multiLevelType w:val="hybridMultilevel"/>
    <w:tmpl w:val="906ABE4A"/>
    <w:lvl w:ilvl="0" w:tplc="9612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357A6"/>
    <w:multiLevelType w:val="multilevel"/>
    <w:tmpl w:val="89B8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4"/>
  </w:num>
  <w:num w:numId="5">
    <w:abstractNumId w:val="21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3"/>
  </w:num>
  <w:num w:numId="11">
    <w:abstractNumId w:val="7"/>
  </w:num>
  <w:num w:numId="12">
    <w:abstractNumId w:val="17"/>
  </w:num>
  <w:num w:numId="13">
    <w:abstractNumId w:val="18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4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1A"/>
    <w:rsid w:val="00006F41"/>
    <w:rsid w:val="00023DE0"/>
    <w:rsid w:val="00024676"/>
    <w:rsid w:val="0003190B"/>
    <w:rsid w:val="000517F5"/>
    <w:rsid w:val="00065735"/>
    <w:rsid w:val="00071BD8"/>
    <w:rsid w:val="00074CA4"/>
    <w:rsid w:val="00074CCE"/>
    <w:rsid w:val="000C3A5C"/>
    <w:rsid w:val="000C7274"/>
    <w:rsid w:val="000E65C6"/>
    <w:rsid w:val="000F1271"/>
    <w:rsid w:val="000F1CA0"/>
    <w:rsid w:val="0011245D"/>
    <w:rsid w:val="00113920"/>
    <w:rsid w:val="001342C1"/>
    <w:rsid w:val="00165522"/>
    <w:rsid w:val="00190ED1"/>
    <w:rsid w:val="00191BCD"/>
    <w:rsid w:val="001A346C"/>
    <w:rsid w:val="001A390D"/>
    <w:rsid w:val="001A4D20"/>
    <w:rsid w:val="001A53F7"/>
    <w:rsid w:val="001C17C7"/>
    <w:rsid w:val="001C3C52"/>
    <w:rsid w:val="001C7FCB"/>
    <w:rsid w:val="001D0226"/>
    <w:rsid w:val="001D08C6"/>
    <w:rsid w:val="00204038"/>
    <w:rsid w:val="002248C8"/>
    <w:rsid w:val="00224CEB"/>
    <w:rsid w:val="00230115"/>
    <w:rsid w:val="002311BA"/>
    <w:rsid w:val="002313FD"/>
    <w:rsid w:val="00245C18"/>
    <w:rsid w:val="00246A72"/>
    <w:rsid w:val="00251340"/>
    <w:rsid w:val="0025142F"/>
    <w:rsid w:val="00252563"/>
    <w:rsid w:val="002601C4"/>
    <w:rsid w:val="00270B35"/>
    <w:rsid w:val="00282AB6"/>
    <w:rsid w:val="00294D93"/>
    <w:rsid w:val="0029786C"/>
    <w:rsid w:val="002B633E"/>
    <w:rsid w:val="002E6A3D"/>
    <w:rsid w:val="002E7984"/>
    <w:rsid w:val="00342A09"/>
    <w:rsid w:val="00343443"/>
    <w:rsid w:val="00354679"/>
    <w:rsid w:val="00361898"/>
    <w:rsid w:val="00375B90"/>
    <w:rsid w:val="003776B1"/>
    <w:rsid w:val="00384283"/>
    <w:rsid w:val="003A5A73"/>
    <w:rsid w:val="003B0702"/>
    <w:rsid w:val="003B536A"/>
    <w:rsid w:val="003C17D2"/>
    <w:rsid w:val="003C4503"/>
    <w:rsid w:val="003F57F8"/>
    <w:rsid w:val="00403943"/>
    <w:rsid w:val="0040531B"/>
    <w:rsid w:val="00414D5C"/>
    <w:rsid w:val="00434EC2"/>
    <w:rsid w:val="004354C8"/>
    <w:rsid w:val="00437EB9"/>
    <w:rsid w:val="004436D3"/>
    <w:rsid w:val="00445A62"/>
    <w:rsid w:val="0044711D"/>
    <w:rsid w:val="004503EA"/>
    <w:rsid w:val="00467686"/>
    <w:rsid w:val="004A39EC"/>
    <w:rsid w:val="004B06B4"/>
    <w:rsid w:val="004B1620"/>
    <w:rsid w:val="004C3702"/>
    <w:rsid w:val="004E198C"/>
    <w:rsid w:val="004F0CEE"/>
    <w:rsid w:val="004F6BD2"/>
    <w:rsid w:val="00521BF3"/>
    <w:rsid w:val="00522A43"/>
    <w:rsid w:val="00523A11"/>
    <w:rsid w:val="00523DB8"/>
    <w:rsid w:val="00532912"/>
    <w:rsid w:val="00545F34"/>
    <w:rsid w:val="00553707"/>
    <w:rsid w:val="005617F5"/>
    <w:rsid w:val="00564282"/>
    <w:rsid w:val="005662EC"/>
    <w:rsid w:val="00585514"/>
    <w:rsid w:val="00591B2A"/>
    <w:rsid w:val="00592408"/>
    <w:rsid w:val="00593CF6"/>
    <w:rsid w:val="005A617B"/>
    <w:rsid w:val="005C719A"/>
    <w:rsid w:val="005E3F47"/>
    <w:rsid w:val="005F24BE"/>
    <w:rsid w:val="005F7235"/>
    <w:rsid w:val="00600472"/>
    <w:rsid w:val="00606621"/>
    <w:rsid w:val="00610954"/>
    <w:rsid w:val="00621186"/>
    <w:rsid w:val="00623814"/>
    <w:rsid w:val="00623B98"/>
    <w:rsid w:val="006262DD"/>
    <w:rsid w:val="00670560"/>
    <w:rsid w:val="0067297F"/>
    <w:rsid w:val="006879FB"/>
    <w:rsid w:val="00694F16"/>
    <w:rsid w:val="006A4AA6"/>
    <w:rsid w:val="006B373B"/>
    <w:rsid w:val="006B5167"/>
    <w:rsid w:val="006C1C7F"/>
    <w:rsid w:val="006C4DE6"/>
    <w:rsid w:val="006F4B06"/>
    <w:rsid w:val="00737EA0"/>
    <w:rsid w:val="007451F6"/>
    <w:rsid w:val="00753650"/>
    <w:rsid w:val="00760F23"/>
    <w:rsid w:val="007614C8"/>
    <w:rsid w:val="00765A57"/>
    <w:rsid w:val="00784D21"/>
    <w:rsid w:val="00794810"/>
    <w:rsid w:val="007A5CD3"/>
    <w:rsid w:val="007A6731"/>
    <w:rsid w:val="007B3A7A"/>
    <w:rsid w:val="007C106A"/>
    <w:rsid w:val="007C254F"/>
    <w:rsid w:val="007C2A04"/>
    <w:rsid w:val="007C76BB"/>
    <w:rsid w:val="007D3160"/>
    <w:rsid w:val="007D60FC"/>
    <w:rsid w:val="007E56C4"/>
    <w:rsid w:val="007F2D4F"/>
    <w:rsid w:val="007F3513"/>
    <w:rsid w:val="007F4408"/>
    <w:rsid w:val="007F4AE3"/>
    <w:rsid w:val="007F7275"/>
    <w:rsid w:val="00807216"/>
    <w:rsid w:val="00817A1D"/>
    <w:rsid w:val="00830E8C"/>
    <w:rsid w:val="00840018"/>
    <w:rsid w:val="008426FA"/>
    <w:rsid w:val="00844E86"/>
    <w:rsid w:val="008454B6"/>
    <w:rsid w:val="00871548"/>
    <w:rsid w:val="00875176"/>
    <w:rsid w:val="00895263"/>
    <w:rsid w:val="008C2144"/>
    <w:rsid w:val="008D681C"/>
    <w:rsid w:val="008E1678"/>
    <w:rsid w:val="008E38E3"/>
    <w:rsid w:val="008F4D80"/>
    <w:rsid w:val="009111CC"/>
    <w:rsid w:val="009149FA"/>
    <w:rsid w:val="00917DDA"/>
    <w:rsid w:val="00927A04"/>
    <w:rsid w:val="00942BBB"/>
    <w:rsid w:val="00950246"/>
    <w:rsid w:val="009570D3"/>
    <w:rsid w:val="009717D9"/>
    <w:rsid w:val="00976040"/>
    <w:rsid w:val="00982E16"/>
    <w:rsid w:val="00993133"/>
    <w:rsid w:val="009A151C"/>
    <w:rsid w:val="009D0C7A"/>
    <w:rsid w:val="009E057B"/>
    <w:rsid w:val="009E45E8"/>
    <w:rsid w:val="009E6CB4"/>
    <w:rsid w:val="009F5E0F"/>
    <w:rsid w:val="00A141D3"/>
    <w:rsid w:val="00A3774E"/>
    <w:rsid w:val="00A45CB9"/>
    <w:rsid w:val="00A53352"/>
    <w:rsid w:val="00A54DEC"/>
    <w:rsid w:val="00A756D8"/>
    <w:rsid w:val="00A7661E"/>
    <w:rsid w:val="00A84BB6"/>
    <w:rsid w:val="00A901ED"/>
    <w:rsid w:val="00AA1970"/>
    <w:rsid w:val="00AA355A"/>
    <w:rsid w:val="00AB0CA7"/>
    <w:rsid w:val="00AB24EE"/>
    <w:rsid w:val="00AC564C"/>
    <w:rsid w:val="00AD1FAB"/>
    <w:rsid w:val="00AD70E7"/>
    <w:rsid w:val="00AE1481"/>
    <w:rsid w:val="00B07803"/>
    <w:rsid w:val="00B210C2"/>
    <w:rsid w:val="00B34033"/>
    <w:rsid w:val="00B452FE"/>
    <w:rsid w:val="00B466E5"/>
    <w:rsid w:val="00B46F1E"/>
    <w:rsid w:val="00B54264"/>
    <w:rsid w:val="00B65027"/>
    <w:rsid w:val="00B65A16"/>
    <w:rsid w:val="00B74BEE"/>
    <w:rsid w:val="00B81C63"/>
    <w:rsid w:val="00B82B3F"/>
    <w:rsid w:val="00B85570"/>
    <w:rsid w:val="00B85FF2"/>
    <w:rsid w:val="00B87696"/>
    <w:rsid w:val="00B9109D"/>
    <w:rsid w:val="00B914DF"/>
    <w:rsid w:val="00B92408"/>
    <w:rsid w:val="00BA0A13"/>
    <w:rsid w:val="00BA1D06"/>
    <w:rsid w:val="00BA6178"/>
    <w:rsid w:val="00BA7221"/>
    <w:rsid w:val="00BB0AD0"/>
    <w:rsid w:val="00BB4D2D"/>
    <w:rsid w:val="00BD40BB"/>
    <w:rsid w:val="00BD5733"/>
    <w:rsid w:val="00C10E7D"/>
    <w:rsid w:val="00C43133"/>
    <w:rsid w:val="00C4332D"/>
    <w:rsid w:val="00C4435A"/>
    <w:rsid w:val="00C52BE0"/>
    <w:rsid w:val="00C53900"/>
    <w:rsid w:val="00C76117"/>
    <w:rsid w:val="00C80DE3"/>
    <w:rsid w:val="00C828D2"/>
    <w:rsid w:val="00C84D7F"/>
    <w:rsid w:val="00C85323"/>
    <w:rsid w:val="00C903E2"/>
    <w:rsid w:val="00C94E96"/>
    <w:rsid w:val="00CB4125"/>
    <w:rsid w:val="00CB6225"/>
    <w:rsid w:val="00CB7D8C"/>
    <w:rsid w:val="00CC2906"/>
    <w:rsid w:val="00CC47D9"/>
    <w:rsid w:val="00CC4800"/>
    <w:rsid w:val="00CE19B7"/>
    <w:rsid w:val="00D01C9F"/>
    <w:rsid w:val="00D113EB"/>
    <w:rsid w:val="00D20BB8"/>
    <w:rsid w:val="00D309A5"/>
    <w:rsid w:val="00D32C92"/>
    <w:rsid w:val="00D428BA"/>
    <w:rsid w:val="00D50C00"/>
    <w:rsid w:val="00D62AEA"/>
    <w:rsid w:val="00D63118"/>
    <w:rsid w:val="00D63C7B"/>
    <w:rsid w:val="00D63DB5"/>
    <w:rsid w:val="00D70F75"/>
    <w:rsid w:val="00D71203"/>
    <w:rsid w:val="00D83058"/>
    <w:rsid w:val="00DA5D17"/>
    <w:rsid w:val="00DC5427"/>
    <w:rsid w:val="00DD6447"/>
    <w:rsid w:val="00E078EE"/>
    <w:rsid w:val="00E1388A"/>
    <w:rsid w:val="00E368B7"/>
    <w:rsid w:val="00E42136"/>
    <w:rsid w:val="00E54D02"/>
    <w:rsid w:val="00E6277B"/>
    <w:rsid w:val="00E75D9C"/>
    <w:rsid w:val="00E76853"/>
    <w:rsid w:val="00E81CA7"/>
    <w:rsid w:val="00E9231F"/>
    <w:rsid w:val="00EA2EB4"/>
    <w:rsid w:val="00EB1D4B"/>
    <w:rsid w:val="00EB70DB"/>
    <w:rsid w:val="00EC7B1D"/>
    <w:rsid w:val="00ED78D7"/>
    <w:rsid w:val="00EE350B"/>
    <w:rsid w:val="00EE7F56"/>
    <w:rsid w:val="00EF2F5A"/>
    <w:rsid w:val="00F06757"/>
    <w:rsid w:val="00F068A4"/>
    <w:rsid w:val="00F100A1"/>
    <w:rsid w:val="00F3041A"/>
    <w:rsid w:val="00F371B4"/>
    <w:rsid w:val="00F430A7"/>
    <w:rsid w:val="00F60235"/>
    <w:rsid w:val="00F637CD"/>
    <w:rsid w:val="00F66942"/>
    <w:rsid w:val="00F76448"/>
    <w:rsid w:val="00F768E3"/>
    <w:rsid w:val="00F80269"/>
    <w:rsid w:val="00F80AE8"/>
    <w:rsid w:val="00F80C21"/>
    <w:rsid w:val="00F93351"/>
    <w:rsid w:val="00FA0EA7"/>
    <w:rsid w:val="00FA4065"/>
    <w:rsid w:val="00FB06FE"/>
    <w:rsid w:val="00FB72D1"/>
    <w:rsid w:val="00FD000E"/>
    <w:rsid w:val="00FD0439"/>
    <w:rsid w:val="00FD1924"/>
    <w:rsid w:val="00FD6468"/>
    <w:rsid w:val="00FE4F4B"/>
    <w:rsid w:val="00FF0E5C"/>
    <w:rsid w:val="00FF313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CDD4-637F-45A9-8F98-126D761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E1388A"/>
    <w:pPr>
      <w:keepNext/>
      <w:keepLines/>
      <w:spacing w:line="259" w:lineRule="auto"/>
      <w:ind w:left="10" w:right="276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4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dnia">
    <w:name w:val="Z dnia"/>
    <w:basedOn w:val="Normalny"/>
    <w:next w:val="Normalny"/>
    <w:rsid w:val="00D62AEA"/>
    <w:pPr>
      <w:spacing w:after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46A72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unhideWhenUsed/>
    <w:rsid w:val="00BD4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17C7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23B98"/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9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3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3B9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48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C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C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2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E16"/>
  </w:style>
  <w:style w:type="paragraph" w:styleId="Stopka">
    <w:name w:val="footer"/>
    <w:basedOn w:val="Normalny"/>
    <w:link w:val="StopkaZnak"/>
    <w:uiPriority w:val="99"/>
    <w:unhideWhenUsed/>
    <w:rsid w:val="00982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E16"/>
  </w:style>
  <w:style w:type="character" w:customStyle="1" w:styleId="NormalnyWebZnak">
    <w:name w:val="Normalny (Web) Znak"/>
    <w:link w:val="NormalnyWeb"/>
    <w:uiPriority w:val="99"/>
    <w:rsid w:val="003C450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1388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1388A"/>
    <w:pPr>
      <w:jc w:val="left"/>
    </w:pPr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93">
              <w:marLeft w:val="864"/>
              <w:marRight w:val="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5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ac@pwr.wr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ello.e-wro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spresja.pwr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m.pwr.wro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3867-8049-4217-A490-5C50A3FF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4920</Words>
  <Characters>29520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katarzyna.zarzycka</cp:lastModifiedBy>
  <cp:revision>2</cp:revision>
  <cp:lastPrinted>2015-10-19T08:18:00Z</cp:lastPrinted>
  <dcterms:created xsi:type="dcterms:W3CDTF">2017-02-09T08:13:00Z</dcterms:created>
  <dcterms:modified xsi:type="dcterms:W3CDTF">2017-02-09T08:13:00Z</dcterms:modified>
</cp:coreProperties>
</file>