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256"/>
        <w:gridCol w:w="567"/>
        <w:gridCol w:w="567"/>
        <w:gridCol w:w="2409"/>
        <w:gridCol w:w="709"/>
        <w:gridCol w:w="567"/>
        <w:gridCol w:w="2360"/>
        <w:gridCol w:w="583"/>
        <w:gridCol w:w="574"/>
        <w:gridCol w:w="701"/>
      </w:tblGrid>
      <w:tr w:rsidR="000F21EA" w:rsidRPr="00E81589" w:rsidTr="001C3061">
        <w:tc>
          <w:tcPr>
            <w:tcW w:w="701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N</w:t>
            </w:r>
            <w:r w:rsidRPr="00A826F3">
              <w:rPr>
                <w:rFonts w:ascii="Calibri" w:hAnsi="Calibri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HRS</w:t>
            </w:r>
          </w:p>
        </w:tc>
        <w:tc>
          <w:tcPr>
            <w:tcW w:w="4256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1 </w:t>
            </w:r>
            <w:r w:rsidRPr="00E81589">
              <w:rPr>
                <w:rFonts w:ascii="Calibri" w:hAnsi="Calibri"/>
                <w:b/>
                <w:sz w:val="16"/>
                <w:szCs w:val="18"/>
              </w:rPr>
              <w:t>SEMESTER</w:t>
            </w:r>
          </w:p>
        </w:tc>
        <w:tc>
          <w:tcPr>
            <w:tcW w:w="567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TYPE</w:t>
            </w:r>
          </w:p>
        </w:tc>
        <w:tc>
          <w:tcPr>
            <w:tcW w:w="567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ECTS</w:t>
            </w:r>
          </w:p>
        </w:tc>
        <w:tc>
          <w:tcPr>
            <w:tcW w:w="2409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2 </w:t>
            </w:r>
            <w:r w:rsidRPr="00E81589">
              <w:rPr>
                <w:rFonts w:ascii="Calibri" w:hAnsi="Calibri"/>
                <w:b/>
                <w:sz w:val="16"/>
                <w:szCs w:val="18"/>
              </w:rPr>
              <w:t xml:space="preserve">SEMESTER </w:t>
            </w:r>
          </w:p>
        </w:tc>
        <w:tc>
          <w:tcPr>
            <w:tcW w:w="709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TYPE</w:t>
            </w:r>
          </w:p>
        </w:tc>
        <w:tc>
          <w:tcPr>
            <w:tcW w:w="567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ECTS</w:t>
            </w:r>
          </w:p>
        </w:tc>
        <w:tc>
          <w:tcPr>
            <w:tcW w:w="2360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3 </w:t>
            </w:r>
            <w:r w:rsidRPr="00E81589">
              <w:rPr>
                <w:rFonts w:ascii="Calibri" w:hAnsi="Calibri"/>
                <w:b/>
                <w:sz w:val="16"/>
                <w:szCs w:val="18"/>
              </w:rPr>
              <w:t xml:space="preserve">SEMESTER </w:t>
            </w:r>
          </w:p>
        </w:tc>
        <w:tc>
          <w:tcPr>
            <w:tcW w:w="583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TYPE</w:t>
            </w:r>
          </w:p>
        </w:tc>
        <w:tc>
          <w:tcPr>
            <w:tcW w:w="574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ECTS</w:t>
            </w:r>
          </w:p>
        </w:tc>
        <w:tc>
          <w:tcPr>
            <w:tcW w:w="701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N</w:t>
            </w:r>
            <w:r w:rsidRPr="00A826F3">
              <w:rPr>
                <w:rFonts w:ascii="Calibri" w:hAnsi="Calibri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b/>
                <w:sz w:val="16"/>
                <w:szCs w:val="18"/>
              </w:rPr>
              <w:t xml:space="preserve"> HRS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4256" w:type="dxa"/>
            <w:shd w:val="clear" w:color="auto" w:fill="auto"/>
          </w:tcPr>
          <w:p w:rsidR="000F21EA" w:rsidRPr="00B5283D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</w:t>
            </w:r>
            <w:r w:rsidRPr="00B5283D">
              <w:rPr>
                <w:rFonts w:ascii="Calibri" w:hAnsi="Calibri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*</w:t>
            </w: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Foreign language A1/A2/B1/B2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Cl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4256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4256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4256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Foreign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language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B2+/C1+</w:t>
            </w:r>
          </w:p>
        </w:tc>
        <w:tc>
          <w:tcPr>
            <w:tcW w:w="567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6974">
              <w:rPr>
                <w:rFonts w:ascii="Calibri" w:hAnsi="Calibri"/>
                <w:b/>
                <w:sz w:val="18"/>
                <w:szCs w:val="18"/>
              </w:rPr>
              <w:t>C</w:t>
            </w:r>
            <w:r>
              <w:rPr>
                <w:rFonts w:ascii="Calibri" w:hAnsi="Calibri"/>
                <w:b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B697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Optional block in field of studies 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1-5_2)</w:t>
            </w:r>
          </w:p>
        </w:tc>
        <w:tc>
          <w:tcPr>
            <w:tcW w:w="709" w:type="dxa"/>
            <w:vMerge w:val="restart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  <w:vMerge w:val="restart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Optional block in field of studies </w:t>
            </w:r>
          </w:p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1-5_1) </w:t>
            </w:r>
          </w:p>
        </w:tc>
        <w:tc>
          <w:tcPr>
            <w:tcW w:w="567" w:type="dxa"/>
            <w:vMerge w:val="restart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  <w:vMerge w:val="restart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:rsidR="000F21EA" w:rsidRPr="0083461D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Optional block in field of studies 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1-5_2)</w:t>
            </w:r>
          </w:p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 w:val="restart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  <w:vMerge w:val="restart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B69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Optional block in field of studies </w:t>
            </w:r>
          </w:p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1-5_1)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Supporting the decision-making process 2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Lab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Supporting the decision-making process 1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Lab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Default="000F21EA" w:rsidP="001C3061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i/>
                <w:sz w:val="18"/>
                <w:szCs w:val="18"/>
              </w:rPr>
              <w:t>Nurt Urbanistyka operacyjna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 </w:t>
            </w:r>
          </w:p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Operational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spatial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planning</w:t>
            </w:r>
            <w:proofErr w:type="spellEnd"/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Legislative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technique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in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planning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Cl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Nurt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Technologie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cyfrowe</w:t>
            </w:r>
            <w:proofErr w:type="spellEnd"/>
          </w:p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Models in Spatial Management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>Project management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Nurt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Planowanie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partycypacyjne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   </w:t>
            </w:r>
          </w:p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From governing to governance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Territorial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marketing</w:t>
            </w:r>
          </w:p>
        </w:tc>
        <w:tc>
          <w:tcPr>
            <w:tcW w:w="709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13 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Knowledge of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architecture</w:t>
            </w:r>
            <w:proofErr w:type="spellEnd"/>
          </w:p>
        </w:tc>
        <w:tc>
          <w:tcPr>
            <w:tcW w:w="709" w:type="dxa"/>
            <w:vMerge w:val="restart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Nurt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Transformacja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urbanistyczna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Directions of transformations of contemporary cities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Law on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Spatial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Planning</w:t>
            </w:r>
          </w:p>
        </w:tc>
        <w:tc>
          <w:tcPr>
            <w:tcW w:w="709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Master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thesis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>   </w:t>
            </w:r>
          </w:p>
        </w:tc>
        <w:tc>
          <w:tcPr>
            <w:tcW w:w="583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</w:t>
            </w:r>
          </w:p>
        </w:tc>
        <w:tc>
          <w:tcPr>
            <w:tcW w:w="574" w:type="dxa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Nurt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Planowanie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dla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klimatu</w:t>
            </w:r>
            <w:proofErr w:type="spellEnd"/>
            <w:r w:rsidRPr="00E81589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Shaping and the protection of the environment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Spatial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Planning Organization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Optional block in field of studies 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1-5_3)</w:t>
            </w:r>
          </w:p>
        </w:tc>
        <w:tc>
          <w:tcPr>
            <w:tcW w:w="583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74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9 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Legislative technique in planning 1 (E)             </w:t>
            </w:r>
          </w:p>
        </w:tc>
        <w:tc>
          <w:tcPr>
            <w:tcW w:w="567" w:type="dxa"/>
            <w:vMerge w:val="restart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Problems of spatial development management</w:t>
            </w:r>
          </w:p>
        </w:tc>
        <w:tc>
          <w:tcPr>
            <w:tcW w:w="709" w:type="dxa"/>
            <w:vMerge w:val="restart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360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0F21EA" w:rsidRPr="003D6D74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>Optional block in field of studies (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stream</w:t>
            </w:r>
            <w:r w:rsidRPr="00E81589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1-5_3)</w:t>
            </w:r>
          </w:p>
          <w:p w:rsidR="000F21EA" w:rsidRPr="00E81589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583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74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Planning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theory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>(E)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lang w:val="en-GB"/>
              </w:rPr>
              <w:t>Planning for city development (E)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B0A94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360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Systems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theory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901A2">
              <w:rPr>
                <w:rFonts w:ascii="Calibri" w:hAnsi="Calibri"/>
                <w:b/>
                <w:sz w:val="18"/>
                <w:szCs w:val="18"/>
              </w:rPr>
              <w:t>(E)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Planning for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city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development</w:t>
            </w:r>
          </w:p>
        </w:tc>
        <w:tc>
          <w:tcPr>
            <w:tcW w:w="709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Regional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policy</w:t>
            </w:r>
          </w:p>
        </w:tc>
        <w:tc>
          <w:tcPr>
            <w:tcW w:w="583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93C86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74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256" w:type="dxa"/>
            <w:vMerge w:val="restart"/>
            <w:shd w:val="clear" w:color="auto" w:fill="auto"/>
          </w:tcPr>
          <w:p w:rsidR="000F21EA" w:rsidRPr="00BB6974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Elements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of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higher</w:t>
            </w:r>
            <w:proofErr w:type="spellEnd"/>
            <w:r w:rsidRPr="00D613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61387">
              <w:rPr>
                <w:rFonts w:ascii="Calibri" w:hAnsi="Calibri"/>
                <w:b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3389D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67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0F21EA" w:rsidRPr="00D61387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61387">
              <w:rPr>
                <w:rFonts w:ascii="Calibri" w:hAnsi="Calibri"/>
                <w:b/>
                <w:sz w:val="18"/>
                <w:szCs w:val="18"/>
                <w:shd w:val="clear" w:color="auto" w:fill="FFFFFF"/>
                <w:lang w:val="en-GB"/>
              </w:rPr>
              <w:t>Spatial Policy of the European Union</w:t>
            </w:r>
          </w:p>
        </w:tc>
        <w:tc>
          <w:tcPr>
            <w:tcW w:w="583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93C86">
              <w:rPr>
                <w:rFonts w:ascii="Calibri" w:hAnsi="Calibri"/>
                <w:b/>
                <w:sz w:val="18"/>
                <w:szCs w:val="18"/>
              </w:rPr>
              <w:t>Lec</w:t>
            </w:r>
          </w:p>
        </w:tc>
        <w:tc>
          <w:tcPr>
            <w:tcW w:w="574" w:type="dxa"/>
            <w:vMerge w:val="restart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</w:tr>
      <w:tr w:rsidR="000F21EA" w:rsidRPr="00B901A2" w:rsidTr="001C3061"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4256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0F21EA" w:rsidRPr="00B901A2" w:rsidRDefault="000F21EA" w:rsidP="001C3061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74" w:type="dxa"/>
            <w:vMerge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0F21EA" w:rsidRPr="00B901A2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901A2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</w:tr>
      <w:tr w:rsidR="000F21EA" w:rsidRPr="00E81589" w:rsidTr="001C3061">
        <w:trPr>
          <w:trHeight w:val="70"/>
        </w:trPr>
        <w:tc>
          <w:tcPr>
            <w:tcW w:w="701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TOTAL</w:t>
            </w:r>
          </w:p>
        </w:tc>
        <w:tc>
          <w:tcPr>
            <w:tcW w:w="4256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709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30</w:t>
            </w:r>
          </w:p>
        </w:tc>
        <w:tc>
          <w:tcPr>
            <w:tcW w:w="2360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83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574" w:type="dxa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E81589">
              <w:rPr>
                <w:rFonts w:ascii="Calibri" w:hAnsi="Calibri"/>
                <w:b/>
                <w:sz w:val="16"/>
                <w:szCs w:val="18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F21EA" w:rsidRPr="00E81589" w:rsidRDefault="000F21EA" w:rsidP="001C3061">
            <w:pPr>
              <w:spacing w:after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TOTAL</w:t>
            </w:r>
          </w:p>
        </w:tc>
      </w:tr>
    </w:tbl>
    <w:p w:rsidR="000F21EA" w:rsidRPr="00316C34" w:rsidRDefault="000F21EA" w:rsidP="000F21EA">
      <w:pPr>
        <w:spacing w:after="0" w:line="240" w:lineRule="auto"/>
        <w:rPr>
          <w:rFonts w:eastAsia="Times New Roman"/>
          <w:bCs/>
          <w:i/>
          <w:sz w:val="20"/>
          <w:lang w:val="en-US" w:eastAsia="pl-PL"/>
        </w:rPr>
      </w:pPr>
      <w:r w:rsidRPr="00316C34">
        <w:rPr>
          <w:rFonts w:eastAsia="Times New Roman"/>
          <w:bCs/>
          <w:i/>
          <w:sz w:val="20"/>
          <w:lang w:val="en-US" w:eastAsia="pl-PL"/>
        </w:rPr>
        <w:t>* Foreign languages are crediting by deadline of  3 semester</w:t>
      </w:r>
    </w:p>
    <w:p w:rsidR="000F21EA" w:rsidRDefault="000F21EA"/>
    <w:sectPr w:rsidR="000F21EA" w:rsidSect="000F2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DB" w:rsidRDefault="00F75EDB" w:rsidP="000F21EA">
      <w:pPr>
        <w:spacing w:after="0" w:line="240" w:lineRule="auto"/>
      </w:pPr>
      <w:r>
        <w:separator/>
      </w:r>
    </w:p>
  </w:endnote>
  <w:endnote w:type="continuationSeparator" w:id="0">
    <w:p w:rsidR="00F75EDB" w:rsidRDefault="00F75EDB" w:rsidP="000F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EA" w:rsidRDefault="000F2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EA" w:rsidRDefault="000F2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EA" w:rsidRDefault="000F2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DB" w:rsidRDefault="00F75EDB" w:rsidP="000F21EA">
      <w:pPr>
        <w:spacing w:after="0" w:line="240" w:lineRule="auto"/>
      </w:pPr>
      <w:r>
        <w:separator/>
      </w:r>
    </w:p>
  </w:footnote>
  <w:footnote w:type="continuationSeparator" w:id="0">
    <w:p w:rsidR="00F75EDB" w:rsidRDefault="00F75EDB" w:rsidP="000F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EA" w:rsidRDefault="000F2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EA" w:rsidRPr="009307AF" w:rsidRDefault="000F21EA" w:rsidP="000F21EA">
    <w:pPr>
      <w:spacing w:after="0"/>
      <w:rPr>
        <w:sz w:val="18"/>
        <w:szCs w:val="18"/>
      </w:rPr>
    </w:pPr>
    <w:r>
      <w:rPr>
        <w:sz w:val="18"/>
        <w:szCs w:val="18"/>
      </w:rPr>
      <w:t>FACULTY OF ARCHITECTURE</w:t>
    </w:r>
  </w:p>
  <w:p w:rsidR="000F21EA" w:rsidRPr="009307AF" w:rsidRDefault="000F21EA" w:rsidP="000F21EA">
    <w:pPr>
      <w:spacing w:after="0"/>
      <w:rPr>
        <w:sz w:val="18"/>
        <w:szCs w:val="18"/>
      </w:rPr>
    </w:pPr>
    <w:r>
      <w:rPr>
        <w:sz w:val="18"/>
        <w:szCs w:val="18"/>
      </w:rPr>
      <w:t>MAIN FIELD OF STUDY: SPATIAL MANAGEMENT</w:t>
    </w:r>
  </w:p>
  <w:p w:rsidR="000F21EA" w:rsidRDefault="000F21EA" w:rsidP="000F21EA">
    <w:pPr>
      <w:spacing w:after="0"/>
      <w:ind w:left="-5" w:hanging="10"/>
      <w:rPr>
        <w:sz w:val="18"/>
        <w:szCs w:val="18"/>
      </w:rPr>
    </w:pPr>
    <w:r>
      <w:rPr>
        <w:sz w:val="18"/>
        <w:szCs w:val="18"/>
      </w:rPr>
      <w:t>Full-</w:t>
    </w:r>
    <w:proofErr w:type="spellStart"/>
    <w:r>
      <w:rPr>
        <w:sz w:val="18"/>
        <w:szCs w:val="18"/>
      </w:rPr>
      <w:t>time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studies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second-level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studies</w:t>
    </w:r>
    <w:proofErr w:type="spellEnd"/>
    <w:r>
      <w:rPr>
        <w:sz w:val="18"/>
        <w:szCs w:val="18"/>
      </w:rPr>
      <w:t xml:space="preserve">, in </w:t>
    </w:r>
    <w:proofErr w:type="spellStart"/>
    <w:r>
      <w:rPr>
        <w:sz w:val="18"/>
        <w:szCs w:val="18"/>
      </w:rPr>
      <w:t>effect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since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recruitment</w:t>
    </w:r>
    <w:proofErr w:type="spellEnd"/>
    <w:r>
      <w:rPr>
        <w:sz w:val="18"/>
        <w:szCs w:val="18"/>
      </w:rPr>
      <w:t xml:space="preserve"> 2020/2021</w:t>
    </w:r>
    <w:bookmarkStart w:id="0" w:name="_GoBack"/>
    <w:bookmarkEnd w:id="0"/>
  </w:p>
  <w:p w:rsidR="000F21EA" w:rsidRPr="000F21EA" w:rsidRDefault="000F21EA" w:rsidP="000F21EA">
    <w:pPr>
      <w:spacing w:after="0"/>
      <w:ind w:left="-5" w:hanging="1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EA" w:rsidRDefault="000F21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EA"/>
    <w:rsid w:val="000F21EA"/>
    <w:rsid w:val="00F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8B10B"/>
  <w15:chartTrackingRefBased/>
  <w15:docId w15:val="{F95D999F-486A-4ACC-ACB8-8853E6B5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E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1E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1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iwona.chometa@pwr.edu.pl</dc:creator>
  <cp:keywords/>
  <dc:description/>
  <cp:lastModifiedBy>iwona.chometa@pwr.edu.pl</cp:lastModifiedBy>
  <cp:revision>1</cp:revision>
  <dcterms:created xsi:type="dcterms:W3CDTF">2021-01-04T12:32:00Z</dcterms:created>
  <dcterms:modified xsi:type="dcterms:W3CDTF">2021-01-04T12:38:00Z</dcterms:modified>
</cp:coreProperties>
</file>